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7" w:type="dxa"/>
        <w:tblLook w:val="04A0"/>
      </w:tblPr>
      <w:tblGrid>
        <w:gridCol w:w="4878"/>
        <w:gridCol w:w="5359"/>
      </w:tblGrid>
      <w:tr w:rsidR="00353ED5" w:rsidRPr="00932CB1" w:rsidTr="00AF65F6">
        <w:tc>
          <w:tcPr>
            <w:tcW w:w="4878" w:type="dxa"/>
          </w:tcPr>
          <w:p w:rsidR="00353ED5" w:rsidRPr="00932CB1" w:rsidRDefault="00353ED5" w:rsidP="00AF65F6">
            <w:pPr>
              <w:spacing w:before="60" w:after="60"/>
              <w:ind w:left="-78"/>
              <w:jc w:val="both"/>
              <w:rPr>
                <w:szCs w:val="24"/>
                <w:lang w:val="vi-VN"/>
              </w:rPr>
            </w:pPr>
            <w:r w:rsidRPr="00932CB1">
              <w:rPr>
                <w:szCs w:val="24"/>
                <w:lang w:val="vi-VN"/>
              </w:rPr>
              <w:t>ỦY BAN GIÁM SÁT TÀI CHÍNH QUỐC GIA</w:t>
            </w:r>
          </w:p>
          <w:p w:rsidR="00353ED5" w:rsidRPr="00932CB1" w:rsidRDefault="00353ED5" w:rsidP="00AF65F6">
            <w:pPr>
              <w:pStyle w:val="NormalWeb"/>
              <w:spacing w:before="60" w:beforeAutospacing="0" w:after="60" w:afterAutospacing="0" w:line="276" w:lineRule="auto"/>
              <w:ind w:left="-78"/>
              <w:jc w:val="center"/>
              <w:rPr>
                <w:b/>
                <w:bCs/>
                <w:sz w:val="26"/>
                <w:szCs w:val="26"/>
                <w:lang w:val="vi-VN"/>
              </w:rPr>
            </w:pPr>
            <w:r w:rsidRPr="00932CB1">
              <w:rPr>
                <w:b/>
                <w:bCs/>
                <w:lang w:val="vi-VN"/>
              </w:rPr>
              <w:t>BAN NC&amp;ĐP CHÍNH SÁCH GIÁM SÁT</w:t>
            </w:r>
          </w:p>
          <w:p w:rsidR="00353ED5" w:rsidRPr="00D64DB7" w:rsidRDefault="00353ED5" w:rsidP="00AF65F6">
            <w:pPr>
              <w:tabs>
                <w:tab w:val="left" w:pos="1666"/>
              </w:tabs>
              <w:spacing w:before="240" w:after="0"/>
              <w:jc w:val="center"/>
              <w:rPr>
                <w:sz w:val="28"/>
                <w:szCs w:val="28"/>
              </w:rPr>
            </w:pPr>
          </w:p>
        </w:tc>
        <w:tc>
          <w:tcPr>
            <w:tcW w:w="5359" w:type="dxa"/>
          </w:tcPr>
          <w:p w:rsidR="00353ED5" w:rsidRPr="00932CB1" w:rsidRDefault="00353ED5" w:rsidP="00AF65F6">
            <w:pPr>
              <w:pStyle w:val="NormalWeb"/>
              <w:spacing w:before="60" w:beforeAutospacing="0" w:after="60" w:afterAutospacing="0" w:line="276" w:lineRule="auto"/>
              <w:jc w:val="center"/>
              <w:rPr>
                <w:b/>
                <w:bCs/>
                <w:lang w:val="vi-VN"/>
              </w:rPr>
            </w:pPr>
            <w:r w:rsidRPr="00932CB1">
              <w:rPr>
                <w:b/>
                <w:bCs/>
                <w:lang w:val="vi-VN"/>
              </w:rPr>
              <w:t>CỘNG HOÀ XÃ HỘI CHỦ NGHĨA VIỆT NAM</w:t>
            </w:r>
          </w:p>
          <w:p w:rsidR="00353ED5" w:rsidRPr="00932CB1" w:rsidRDefault="00353ED5" w:rsidP="00AF65F6">
            <w:pPr>
              <w:spacing w:before="60" w:after="60"/>
              <w:jc w:val="center"/>
              <w:rPr>
                <w:b/>
                <w:bCs/>
                <w:sz w:val="26"/>
                <w:szCs w:val="26"/>
                <w:lang w:val="vi-VN"/>
              </w:rPr>
            </w:pPr>
            <w:r w:rsidRPr="00932CB1">
              <w:rPr>
                <w:b/>
                <w:bCs/>
                <w:sz w:val="26"/>
                <w:szCs w:val="26"/>
                <w:lang w:val="vi-VN"/>
              </w:rPr>
              <w:t>Độc lập - Tự do - Hạnh phúc</w:t>
            </w:r>
          </w:p>
          <w:p w:rsidR="00353ED5" w:rsidRPr="00932CB1" w:rsidRDefault="00263011" w:rsidP="00AF65F6">
            <w:pPr>
              <w:spacing w:before="240" w:after="60"/>
              <w:jc w:val="center"/>
              <w:rPr>
                <w:sz w:val="28"/>
                <w:szCs w:val="28"/>
              </w:rPr>
            </w:pPr>
            <w:r w:rsidRPr="00263011">
              <w:rPr>
                <w:noProof/>
              </w:rPr>
              <w:pict>
                <v:line id="Straight Connector 1" o:spid="_x0000_s1026" style="position:absolute;left:0;text-align:left;z-index:251659264;visibility:visible;mso-wrap-distance-top:-3e-5mm;mso-wrap-distance-bottom:-3e-5mm" from="52.95pt,.15pt" to="20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6l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ov8KUuhhf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"/>
              </w:pict>
            </w:r>
            <w:r w:rsidR="00353ED5" w:rsidRPr="00932CB1">
              <w:rPr>
                <w:i/>
                <w:sz w:val="26"/>
                <w:szCs w:val="26"/>
              </w:rPr>
              <w:t xml:space="preserve">          </w:t>
            </w:r>
            <w:r w:rsidR="00353ED5" w:rsidRPr="00932CB1">
              <w:rPr>
                <w:i/>
                <w:sz w:val="28"/>
                <w:szCs w:val="28"/>
                <w:lang w:val="vi-VN"/>
              </w:rPr>
              <w:t xml:space="preserve">Hà Nội, ngày </w:t>
            </w:r>
            <w:r w:rsidR="007236D9">
              <w:rPr>
                <w:i/>
                <w:sz w:val="28"/>
                <w:szCs w:val="28"/>
              </w:rPr>
              <w:t>30</w:t>
            </w:r>
            <w:r w:rsidR="00353ED5" w:rsidRPr="00932CB1">
              <w:rPr>
                <w:i/>
                <w:sz w:val="28"/>
                <w:szCs w:val="28"/>
                <w:lang w:val="vi-VN"/>
              </w:rPr>
              <w:t xml:space="preserve"> tháng </w:t>
            </w:r>
            <w:r w:rsidR="00E964E6">
              <w:rPr>
                <w:i/>
                <w:sz w:val="28"/>
                <w:szCs w:val="28"/>
              </w:rPr>
              <w:t>0</w:t>
            </w:r>
            <w:r w:rsidR="00560CDF">
              <w:rPr>
                <w:i/>
                <w:sz w:val="28"/>
                <w:szCs w:val="28"/>
              </w:rPr>
              <w:t>7</w:t>
            </w:r>
            <w:r w:rsidR="00353ED5" w:rsidRPr="00932CB1">
              <w:rPr>
                <w:i/>
                <w:sz w:val="28"/>
                <w:szCs w:val="28"/>
                <w:lang w:val="vi-VN"/>
              </w:rPr>
              <w:t xml:space="preserve"> năm 201</w:t>
            </w:r>
            <w:r w:rsidR="00353ED5" w:rsidRPr="00932CB1">
              <w:rPr>
                <w:i/>
                <w:sz w:val="28"/>
                <w:szCs w:val="28"/>
              </w:rPr>
              <w:t>8</w:t>
            </w:r>
          </w:p>
          <w:p w:rsidR="00353ED5" w:rsidRPr="00932CB1" w:rsidRDefault="00353ED5" w:rsidP="00353ED5">
            <w:pPr>
              <w:spacing w:before="60" w:after="60"/>
            </w:pPr>
          </w:p>
        </w:tc>
      </w:tr>
    </w:tbl>
    <w:p w:rsidR="00353ED5" w:rsidRDefault="00353ED5" w:rsidP="004F006A">
      <w:pPr>
        <w:spacing w:before="360" w:after="60" w:line="312" w:lineRule="auto"/>
        <w:jc w:val="center"/>
        <w:rPr>
          <w:b/>
          <w:sz w:val="28"/>
          <w:szCs w:val="28"/>
        </w:rPr>
      </w:pPr>
      <w:r w:rsidRPr="00353ED5">
        <w:rPr>
          <w:b/>
          <w:sz w:val="28"/>
          <w:szCs w:val="28"/>
        </w:rPr>
        <w:t xml:space="preserve">BÁO CÁO TÌNH HÌNH </w:t>
      </w:r>
      <w:r w:rsidR="00874133">
        <w:rPr>
          <w:b/>
          <w:sz w:val="28"/>
          <w:szCs w:val="28"/>
        </w:rPr>
        <w:t xml:space="preserve">TÀI KHÓA, </w:t>
      </w:r>
      <w:r w:rsidRPr="00353ED5">
        <w:rPr>
          <w:b/>
          <w:sz w:val="28"/>
          <w:szCs w:val="28"/>
        </w:rPr>
        <w:t xml:space="preserve">NGÂN SÁCH </w:t>
      </w:r>
    </w:p>
    <w:p w:rsidR="000727B8" w:rsidRDefault="00353ED5" w:rsidP="004F006A">
      <w:pPr>
        <w:spacing w:before="60" w:after="360" w:line="312" w:lineRule="auto"/>
        <w:jc w:val="center"/>
        <w:rPr>
          <w:b/>
          <w:sz w:val="28"/>
          <w:szCs w:val="28"/>
        </w:rPr>
      </w:pPr>
      <w:r w:rsidRPr="00353ED5">
        <w:rPr>
          <w:b/>
          <w:sz w:val="28"/>
          <w:szCs w:val="28"/>
        </w:rPr>
        <w:t xml:space="preserve">VIỆT NAM VÀ THẾ GIỚI </w:t>
      </w:r>
      <w:r w:rsidR="000727B8">
        <w:rPr>
          <w:b/>
          <w:sz w:val="28"/>
          <w:szCs w:val="28"/>
        </w:rPr>
        <w:t xml:space="preserve">THÁNG </w:t>
      </w:r>
      <w:r w:rsidR="00560CDF">
        <w:rPr>
          <w:b/>
          <w:sz w:val="28"/>
          <w:szCs w:val="28"/>
        </w:rPr>
        <w:t>07</w:t>
      </w:r>
      <w:r w:rsidRPr="00353ED5">
        <w:rPr>
          <w:b/>
          <w:sz w:val="28"/>
          <w:szCs w:val="28"/>
        </w:rPr>
        <w:t>/2018</w:t>
      </w:r>
    </w:p>
    <w:p w:rsidR="0041586F" w:rsidRDefault="00757800" w:rsidP="00D07904">
      <w:pPr>
        <w:pStyle w:val="ListParagraph"/>
        <w:numPr>
          <w:ilvl w:val="0"/>
          <w:numId w:val="6"/>
        </w:numPr>
        <w:spacing w:before="120" w:after="120" w:line="312" w:lineRule="auto"/>
        <w:ind w:left="0" w:firstLine="567"/>
        <w:contextualSpacing w:val="0"/>
        <w:jc w:val="both"/>
        <w:rPr>
          <w:rFonts w:cs="Times New Roman"/>
          <w:b/>
          <w:sz w:val="28"/>
          <w:szCs w:val="28"/>
        </w:rPr>
      </w:pPr>
      <w:r w:rsidRPr="00CE30F8">
        <w:rPr>
          <w:rFonts w:cs="Times New Roman"/>
          <w:b/>
          <w:sz w:val="28"/>
          <w:szCs w:val="28"/>
        </w:rPr>
        <w:t>TÌNH HÌNH TÀI KHÓA, NGÂN SÁCH THẾ GIỚI</w:t>
      </w:r>
    </w:p>
    <w:p w:rsidR="002C110A" w:rsidRPr="002C110A" w:rsidRDefault="002C110A" w:rsidP="002C110A">
      <w:pPr>
        <w:shd w:val="clear" w:color="auto" w:fill="FFFFFF"/>
        <w:spacing w:before="120" w:after="120" w:line="312" w:lineRule="auto"/>
        <w:ind w:firstLine="709"/>
        <w:jc w:val="both"/>
        <w:rPr>
          <w:rFonts w:eastAsia="Times New Roman" w:cs="Times New Roman"/>
          <w:color w:val="111111"/>
          <w:sz w:val="28"/>
          <w:szCs w:val="28"/>
        </w:rPr>
      </w:pPr>
      <w:r w:rsidRPr="002C110A">
        <w:rPr>
          <w:rFonts w:eastAsia="Times New Roman" w:cs="Times New Roman"/>
          <w:b/>
          <w:i/>
          <w:color w:val="111111"/>
          <w:sz w:val="28"/>
          <w:szCs w:val="28"/>
        </w:rPr>
        <w:t>Thâm hụt ngân sách Mỹ tăng chậm lại</w:t>
      </w:r>
      <w:r w:rsidRPr="002C110A">
        <w:rPr>
          <w:rFonts w:eastAsia="Times New Roman" w:cs="Times New Roman"/>
          <w:color w:val="111111"/>
          <w:sz w:val="28"/>
          <w:szCs w:val="28"/>
        </w:rPr>
        <w:t xml:space="preserve">. Theo báo cáo mới </w:t>
      </w:r>
      <w:r w:rsidR="00FD0571">
        <w:rPr>
          <w:rFonts w:eastAsia="Times New Roman" w:cs="Times New Roman"/>
          <w:color w:val="111111"/>
          <w:sz w:val="28"/>
          <w:szCs w:val="28"/>
        </w:rPr>
        <w:t>nhất</w:t>
      </w:r>
      <w:r w:rsidRPr="002C110A">
        <w:rPr>
          <w:rFonts w:eastAsia="Times New Roman" w:cs="Times New Roman"/>
          <w:color w:val="111111"/>
          <w:sz w:val="28"/>
          <w:szCs w:val="28"/>
        </w:rPr>
        <w:t xml:space="preserve"> của Văn phòng ngân sách Quốc hội Mỹ (</w:t>
      </w:r>
      <w:r w:rsidR="00AF76FA">
        <w:rPr>
          <w:rFonts w:eastAsia="Times New Roman" w:cs="Times New Roman"/>
          <w:color w:val="111111"/>
          <w:sz w:val="28"/>
          <w:szCs w:val="28"/>
        </w:rPr>
        <w:t>CBO), tính đến hết tháng 6/2018</w:t>
      </w:r>
      <w:r w:rsidRPr="002C110A">
        <w:rPr>
          <w:rFonts w:eastAsia="Times New Roman" w:cs="Times New Roman"/>
          <w:color w:val="111111"/>
          <w:sz w:val="28"/>
          <w:szCs w:val="28"/>
        </w:rPr>
        <w:t xml:space="preserve">, thâm hụt ngân sách Mỹ đang ở mức 607 tỷ USD, tăng 16% so với cùng kỳ </w:t>
      </w:r>
      <w:r w:rsidR="00AF76FA">
        <w:rPr>
          <w:rFonts w:eastAsia="Times New Roman" w:cs="Times New Roman"/>
          <w:color w:val="111111"/>
          <w:sz w:val="28"/>
          <w:szCs w:val="28"/>
        </w:rPr>
        <w:t xml:space="preserve">- </w:t>
      </w:r>
      <w:r w:rsidRPr="002C110A">
        <w:rPr>
          <w:rFonts w:eastAsia="Times New Roman" w:cs="Times New Roman"/>
          <w:color w:val="111111"/>
          <w:sz w:val="28"/>
          <w:szCs w:val="28"/>
        </w:rPr>
        <w:t>là mức tăng thấp nhất trong vòng 3 năm trở lại đây. Tuy nhiên, theo đánh giá, đây chỉ là mức giảm có tính chu kỳ và thâm hụt ngân sách có thể sẽ tăng nhanh trở lại vào những tháng cuối năm.</w:t>
      </w:r>
    </w:p>
    <w:p w:rsidR="002C110A" w:rsidRPr="002C110A" w:rsidRDefault="002C110A" w:rsidP="002C110A">
      <w:pPr>
        <w:jc w:val="center"/>
        <w:rPr>
          <w:b/>
          <w:sz w:val="28"/>
        </w:rPr>
      </w:pPr>
      <w:r w:rsidRPr="002C110A">
        <w:rPr>
          <w:b/>
          <w:sz w:val="28"/>
        </w:rPr>
        <w:t>Hình 1: Thâm hụt ngân sách Mỹ theo tháng, năm 2018, tỷ USD</w:t>
      </w:r>
    </w:p>
    <w:p w:rsidR="002C110A" w:rsidRDefault="002C110A" w:rsidP="00506715">
      <w:pPr>
        <w:jc w:val="center"/>
      </w:pPr>
      <w:r>
        <w:rPr>
          <w:noProof/>
        </w:rPr>
        <w:drawing>
          <wp:inline distT="0" distB="0" distL="0" distR="0">
            <wp:extent cx="5572125" cy="2143125"/>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110A" w:rsidRPr="002C110A" w:rsidRDefault="002C110A" w:rsidP="002C110A">
      <w:pPr>
        <w:jc w:val="right"/>
        <w:rPr>
          <w:i/>
          <w:sz w:val="28"/>
        </w:rPr>
      </w:pPr>
      <w:r w:rsidRPr="002C110A">
        <w:rPr>
          <w:i/>
          <w:sz w:val="28"/>
        </w:rPr>
        <w:t>Nguồn: CBO, BNC tổng hợp</w:t>
      </w:r>
    </w:p>
    <w:p w:rsidR="002C110A" w:rsidRPr="002C110A" w:rsidRDefault="002C110A" w:rsidP="002C110A">
      <w:pPr>
        <w:shd w:val="clear" w:color="auto" w:fill="FFFFFF"/>
        <w:spacing w:before="120" w:after="120" w:line="312" w:lineRule="auto"/>
        <w:ind w:firstLine="709"/>
        <w:jc w:val="both"/>
        <w:rPr>
          <w:rFonts w:eastAsia="Times New Roman" w:cs="Times New Roman"/>
          <w:color w:val="111111"/>
          <w:sz w:val="28"/>
          <w:szCs w:val="28"/>
        </w:rPr>
      </w:pPr>
      <w:r w:rsidRPr="002C110A">
        <w:rPr>
          <w:rFonts w:eastAsia="Times New Roman" w:cs="Times New Roman"/>
          <w:b/>
          <w:i/>
          <w:color w:val="111111"/>
          <w:sz w:val="28"/>
          <w:szCs w:val="28"/>
        </w:rPr>
        <w:t>Khu vực Châu Âu, nợ công tăng trở lại và tiềm ẩn nhiều rủi ro</w:t>
      </w:r>
      <w:r w:rsidRPr="002C110A">
        <w:rPr>
          <w:rFonts w:eastAsia="Times New Roman" w:cs="Times New Roman"/>
          <w:color w:val="111111"/>
          <w:sz w:val="28"/>
          <w:szCs w:val="28"/>
        </w:rPr>
        <w:t xml:space="preserve">. Theo báo cáo của Cơ quan thống kê Châu Âu (Eurosat), </w:t>
      </w:r>
      <w:r w:rsidR="003815B4">
        <w:rPr>
          <w:rFonts w:eastAsia="Times New Roman" w:cs="Times New Roman"/>
          <w:color w:val="111111"/>
          <w:sz w:val="28"/>
          <w:szCs w:val="28"/>
        </w:rPr>
        <w:t xml:space="preserve">tính đến cuối quý I/2018, </w:t>
      </w:r>
      <w:r w:rsidRPr="002C110A">
        <w:rPr>
          <w:rFonts w:eastAsia="Times New Roman" w:cs="Times New Roman"/>
          <w:color w:val="111111"/>
          <w:sz w:val="28"/>
          <w:szCs w:val="28"/>
        </w:rPr>
        <w:t xml:space="preserve">nợ công của khu vực Eurozone (EA19) ở mức 86,8%GDP, tăng nhẹ so mức 86,7%GDP cuối năm 2017. Các quốc gia có nợ công cao nhất khu vực lần lượt là: Hy Lạp (180,4%GDP), Italia (133,4%GDP), Bồ Đào Nha (126,4%GDP). Theo đó,  rủi ro nợ công của khu vực vẫn ở mức cao do: </w:t>
      </w:r>
      <w:r w:rsidRPr="00087223">
        <w:rPr>
          <w:rFonts w:eastAsia="Times New Roman" w:cs="Times New Roman"/>
          <w:i/>
          <w:color w:val="111111"/>
          <w:sz w:val="28"/>
          <w:szCs w:val="28"/>
        </w:rPr>
        <w:t>(i)</w:t>
      </w:r>
      <w:r w:rsidRPr="002C110A">
        <w:rPr>
          <w:rFonts w:eastAsia="Times New Roman" w:cs="Times New Roman"/>
          <w:color w:val="111111"/>
          <w:sz w:val="28"/>
          <w:szCs w:val="28"/>
        </w:rPr>
        <w:t xml:space="preserve"> nhiều thành viên, đặc biệt là Hy Lạp mặc dù có tình hình tài chính được cải thiện nhưng vẫn </w:t>
      </w:r>
      <w:r w:rsidRPr="002C110A">
        <w:rPr>
          <w:rFonts w:eastAsia="Times New Roman" w:cs="Times New Roman"/>
          <w:color w:val="111111"/>
          <w:sz w:val="28"/>
          <w:szCs w:val="28"/>
        </w:rPr>
        <w:lastRenderedPageBreak/>
        <w:t xml:space="preserve">đang có tỷ lệ nợ công rất cao và nguy cơ vỡ nợ thường trực có thể ảnh hưởng đến hệ thống tài chính của cả khối; </w:t>
      </w:r>
      <w:r w:rsidRPr="00087223">
        <w:rPr>
          <w:rFonts w:eastAsia="Times New Roman" w:cs="Times New Roman"/>
          <w:i/>
          <w:color w:val="111111"/>
          <w:sz w:val="28"/>
          <w:szCs w:val="28"/>
        </w:rPr>
        <w:t>(ii)</w:t>
      </w:r>
      <w:r w:rsidRPr="002C110A">
        <w:rPr>
          <w:rFonts w:eastAsia="Times New Roman" w:cs="Times New Roman"/>
          <w:color w:val="111111"/>
          <w:sz w:val="28"/>
          <w:szCs w:val="28"/>
        </w:rPr>
        <w:t xml:space="preserve"> </w:t>
      </w:r>
      <w:r w:rsidR="00451B9A">
        <w:rPr>
          <w:rFonts w:eastAsia="Times New Roman" w:cs="Times New Roman"/>
          <w:color w:val="111111"/>
          <w:sz w:val="28"/>
          <w:szCs w:val="28"/>
        </w:rPr>
        <w:t>Nhiều</w:t>
      </w:r>
      <w:r w:rsidRPr="002C110A">
        <w:rPr>
          <w:rFonts w:eastAsia="Times New Roman" w:cs="Times New Roman"/>
          <w:color w:val="111111"/>
          <w:sz w:val="28"/>
          <w:szCs w:val="28"/>
        </w:rPr>
        <w:t xml:space="preserve"> khoản mục nợ liên quan đến Chính phủ chưa được thống kê đầy đủ và tiếp tục gia tăng trong nhiều năm gần đây.</w:t>
      </w:r>
    </w:p>
    <w:p w:rsidR="002C110A" w:rsidRPr="002C110A" w:rsidRDefault="002C110A" w:rsidP="002C110A">
      <w:pPr>
        <w:shd w:val="clear" w:color="auto" w:fill="FFFFFF"/>
        <w:spacing w:before="120" w:after="120" w:line="300" w:lineRule="auto"/>
        <w:jc w:val="center"/>
        <w:rPr>
          <w:rFonts w:eastAsia="Times New Roman" w:cs="Times New Roman"/>
          <w:b/>
          <w:color w:val="111111"/>
          <w:sz w:val="28"/>
          <w:szCs w:val="28"/>
        </w:rPr>
      </w:pPr>
      <w:r w:rsidRPr="002C110A">
        <w:rPr>
          <w:rFonts w:eastAsia="Times New Roman" w:cs="Times New Roman"/>
          <w:b/>
          <w:color w:val="111111"/>
          <w:sz w:val="28"/>
          <w:szCs w:val="28"/>
        </w:rPr>
        <w:t>Hình 2: Nợ công các nước khu vực châu Âu</w:t>
      </w:r>
    </w:p>
    <w:p w:rsidR="002C110A" w:rsidRPr="002C110A" w:rsidRDefault="002C110A" w:rsidP="002C110A">
      <w:pPr>
        <w:shd w:val="clear" w:color="auto" w:fill="FFFFFF"/>
        <w:spacing w:before="120" w:after="120" w:line="300" w:lineRule="auto"/>
        <w:jc w:val="center"/>
        <w:rPr>
          <w:rFonts w:eastAsia="Times New Roman" w:cs="Times New Roman"/>
          <w:b/>
          <w:color w:val="111111"/>
          <w:sz w:val="28"/>
          <w:szCs w:val="28"/>
        </w:rPr>
      </w:pPr>
      <w:r w:rsidRPr="002C110A">
        <w:rPr>
          <w:rFonts w:eastAsia="Times New Roman" w:cs="Times New Roman"/>
          <w:b/>
          <w:color w:val="111111"/>
          <w:sz w:val="28"/>
          <w:szCs w:val="28"/>
        </w:rPr>
        <w:t>đến thời điểm cuối quý I/2018, %GDP</w:t>
      </w:r>
    </w:p>
    <w:p w:rsidR="002C110A" w:rsidRDefault="002C110A" w:rsidP="00506715">
      <w:pPr>
        <w:shd w:val="clear" w:color="auto" w:fill="FFFFFF"/>
        <w:spacing w:before="120" w:after="120" w:line="300" w:lineRule="auto"/>
        <w:jc w:val="center"/>
        <w:rPr>
          <w:rFonts w:eastAsia="Times New Roman" w:cs="Times New Roman"/>
          <w:color w:val="111111"/>
          <w:szCs w:val="28"/>
        </w:rPr>
      </w:pPr>
      <w:r>
        <w:rPr>
          <w:rFonts w:eastAsia="Times New Roman" w:cs="Times New Roman"/>
          <w:noProof/>
          <w:color w:val="111111"/>
          <w:szCs w:val="28"/>
        </w:rPr>
        <w:drawing>
          <wp:inline distT="0" distB="0" distL="0" distR="0">
            <wp:extent cx="5105400" cy="2358947"/>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0" cy="2358947"/>
                    </a:xfrm>
                    <a:prstGeom prst="rect">
                      <a:avLst/>
                    </a:prstGeom>
                    <a:noFill/>
                    <a:ln>
                      <a:noFill/>
                    </a:ln>
                  </pic:spPr>
                </pic:pic>
              </a:graphicData>
            </a:graphic>
          </wp:inline>
        </w:drawing>
      </w:r>
    </w:p>
    <w:p w:rsidR="002C110A" w:rsidRPr="002C110A" w:rsidRDefault="002C110A" w:rsidP="002C110A">
      <w:pPr>
        <w:shd w:val="clear" w:color="auto" w:fill="FFFFFF"/>
        <w:spacing w:before="120" w:after="120" w:line="300" w:lineRule="auto"/>
        <w:jc w:val="right"/>
        <w:rPr>
          <w:rFonts w:eastAsia="Times New Roman" w:cs="Times New Roman"/>
          <w:i/>
          <w:color w:val="111111"/>
          <w:sz w:val="28"/>
          <w:szCs w:val="28"/>
        </w:rPr>
      </w:pPr>
      <w:r w:rsidRPr="002C110A">
        <w:rPr>
          <w:rFonts w:eastAsia="Times New Roman" w:cs="Times New Roman"/>
          <w:i/>
          <w:color w:val="111111"/>
          <w:sz w:val="28"/>
          <w:szCs w:val="28"/>
        </w:rPr>
        <w:t>Nguồn: Eurosat, Ban NCĐP tổng hợp</w:t>
      </w:r>
    </w:p>
    <w:p w:rsidR="00D37691" w:rsidRDefault="00B72860" w:rsidP="00D37691">
      <w:pPr>
        <w:ind w:firstLine="851"/>
        <w:jc w:val="both"/>
        <w:rPr>
          <w:rFonts w:eastAsia="Times New Roman" w:cs="Times New Roman"/>
          <w:color w:val="111111"/>
          <w:sz w:val="28"/>
          <w:szCs w:val="28"/>
        </w:rPr>
      </w:pPr>
      <w:r w:rsidRPr="00B72860">
        <w:rPr>
          <w:rFonts w:eastAsia="Times New Roman" w:cs="Times New Roman"/>
          <w:b/>
          <w:i/>
          <w:color w:val="111111"/>
          <w:sz w:val="28"/>
          <w:szCs w:val="28"/>
        </w:rPr>
        <w:t>Nợ công Trung Quốc đối mặt với áp lực khi căng thẳng thương mại với Mỹ gia tăng</w:t>
      </w:r>
      <w:r w:rsidRPr="00B72860">
        <w:rPr>
          <w:rFonts w:eastAsia="Times New Roman" w:cs="Times New Roman"/>
          <w:color w:val="111111"/>
          <w:sz w:val="28"/>
          <w:szCs w:val="28"/>
        </w:rPr>
        <w:t>. Trong bối cảnh Mỹ tiếp tục gia tăng hàng rào thuế quan đối với hàng hóa của Trung Quốc, cuộc chiến tranh thương mại trên quy mô lớn đang diễn ra và có thể tiếp tục lan rộng</w:t>
      </w:r>
      <w:r>
        <w:rPr>
          <w:rFonts w:eastAsia="Times New Roman" w:cs="Times New Roman"/>
          <w:color w:val="111111"/>
          <w:sz w:val="28"/>
          <w:szCs w:val="28"/>
        </w:rPr>
        <w:t xml:space="preserve"> sẽ ảnh hưởng không nhỏ đến tăng trưởng kinh tế Trung Quốc. Trong khi đó, nợ công đang tăng lên nhanh chóng. </w:t>
      </w:r>
      <w:r w:rsidR="005A4BD0">
        <w:rPr>
          <w:rFonts w:eastAsia="Times New Roman" w:cs="Times New Roman"/>
          <w:color w:val="111111"/>
          <w:sz w:val="28"/>
          <w:szCs w:val="28"/>
        </w:rPr>
        <w:t>T</w:t>
      </w:r>
      <w:r w:rsidRPr="00B72860">
        <w:rPr>
          <w:rFonts w:eastAsia="Times New Roman" w:cs="Times New Roman"/>
          <w:color w:val="111111"/>
          <w:sz w:val="28"/>
          <w:szCs w:val="28"/>
        </w:rPr>
        <w:t xml:space="preserve">ính đến thời điểm cuối năm 2017, nợ công của Trung Quốc ở mức 47,6% GDP, tăng hơn gấp đôi so với 10 năm trước đó và có xu hướng tiếp tục tăng nhanh. </w:t>
      </w:r>
      <w:r>
        <w:rPr>
          <w:rFonts w:eastAsia="Times New Roman" w:cs="Times New Roman"/>
          <w:color w:val="111111"/>
          <w:sz w:val="28"/>
          <w:szCs w:val="28"/>
        </w:rPr>
        <w:t xml:space="preserve">Như vậy, </w:t>
      </w:r>
      <w:r w:rsidR="00D37691">
        <w:rPr>
          <w:rFonts w:eastAsia="Times New Roman" w:cs="Times New Roman"/>
          <w:color w:val="111111"/>
          <w:sz w:val="28"/>
          <w:szCs w:val="28"/>
        </w:rPr>
        <w:t>an ninh tài khóa Trung Quốc sẽ đối mặt với rủi ro lớn khi</w:t>
      </w:r>
      <w:r w:rsidRPr="00B72860">
        <w:rPr>
          <w:rFonts w:eastAsia="Times New Roman" w:cs="Times New Roman"/>
          <w:color w:val="111111"/>
          <w:sz w:val="28"/>
          <w:szCs w:val="28"/>
        </w:rPr>
        <w:t xml:space="preserve"> tốc độ gia tăng nợ vay và chi phí lãi vay cao hơn tốc độ tăng trưởng của nền kinh tế. </w:t>
      </w:r>
    </w:p>
    <w:p w:rsidR="002C110A" w:rsidRPr="00ED3877" w:rsidRDefault="002C110A" w:rsidP="00ED3877">
      <w:pPr>
        <w:ind w:firstLine="720"/>
        <w:jc w:val="both"/>
        <w:rPr>
          <w:rFonts w:cs="Times New Roman"/>
          <w:iCs/>
          <w:sz w:val="28"/>
          <w:szCs w:val="28"/>
        </w:rPr>
      </w:pPr>
      <w:r w:rsidRPr="00ED3877">
        <w:rPr>
          <w:rFonts w:cs="Times New Roman"/>
          <w:b/>
          <w:i/>
          <w:iCs/>
          <w:sz w:val="28"/>
          <w:szCs w:val="28"/>
        </w:rPr>
        <w:t>Nhật Bản, doanh thu thuế năm 2017 tăng cao kỷ lục</w:t>
      </w:r>
      <w:r w:rsidRPr="00ED3877">
        <w:rPr>
          <w:rFonts w:cs="Times New Roman"/>
          <w:iCs/>
          <w:sz w:val="28"/>
          <w:szCs w:val="28"/>
        </w:rPr>
        <w:t xml:space="preserve">. Theo báo cáo </w:t>
      </w:r>
      <w:r w:rsidR="00506715">
        <w:rPr>
          <w:rFonts w:cs="Times New Roman"/>
          <w:iCs/>
          <w:sz w:val="28"/>
          <w:szCs w:val="28"/>
        </w:rPr>
        <w:t>mới nhất</w:t>
      </w:r>
      <w:r w:rsidRPr="00ED3877">
        <w:rPr>
          <w:rFonts w:cs="Times New Roman"/>
          <w:iCs/>
          <w:sz w:val="28"/>
          <w:szCs w:val="28"/>
        </w:rPr>
        <w:t xml:space="preserve"> của Bộ Tài chính Nhật Bả</w:t>
      </w:r>
      <w:r w:rsidR="00506715">
        <w:rPr>
          <w:rFonts w:cs="Times New Roman"/>
          <w:iCs/>
          <w:sz w:val="28"/>
          <w:szCs w:val="28"/>
        </w:rPr>
        <w:t>n</w:t>
      </w:r>
      <w:r w:rsidRPr="00ED3877">
        <w:rPr>
          <w:rFonts w:cs="Times New Roman"/>
          <w:iCs/>
          <w:sz w:val="28"/>
          <w:szCs w:val="28"/>
        </w:rPr>
        <w:t xml:space="preserve">, doanh thu từ thuế trong năm tài khóa 2017 của Chính phủ đạt </w:t>
      </w:r>
      <w:r w:rsidR="00506715">
        <w:rPr>
          <w:rFonts w:cs="Times New Roman"/>
          <w:iCs/>
          <w:sz w:val="28"/>
          <w:szCs w:val="28"/>
        </w:rPr>
        <w:t>mức cao nhất trong 26 năm trở lại đây (</w:t>
      </w:r>
      <w:r w:rsidRPr="00ED3877">
        <w:rPr>
          <w:rFonts w:cs="Times New Roman"/>
          <w:iCs/>
          <w:sz w:val="28"/>
          <w:szCs w:val="28"/>
        </w:rPr>
        <w:t>58,8 nghìn tỷ</w:t>
      </w:r>
      <w:r w:rsidR="00506715">
        <w:rPr>
          <w:rFonts w:cs="Times New Roman"/>
          <w:iCs/>
          <w:sz w:val="28"/>
          <w:szCs w:val="28"/>
        </w:rPr>
        <w:t xml:space="preserve"> Yên, </w:t>
      </w:r>
      <w:r w:rsidRPr="00ED3877">
        <w:rPr>
          <w:rFonts w:cs="Times New Roman"/>
          <w:iCs/>
          <w:sz w:val="28"/>
          <w:szCs w:val="28"/>
        </w:rPr>
        <w:t>tương đương 532 tỷ USD)</w:t>
      </w:r>
      <w:r w:rsidR="00506715">
        <w:rPr>
          <w:rFonts w:cs="Times New Roman"/>
          <w:iCs/>
          <w:sz w:val="28"/>
          <w:szCs w:val="28"/>
        </w:rPr>
        <w:t xml:space="preserve"> chủ yếu do </w:t>
      </w:r>
      <w:r w:rsidR="00506715" w:rsidRPr="00ED3877">
        <w:rPr>
          <w:rFonts w:cs="Times New Roman"/>
          <w:iCs/>
          <w:sz w:val="28"/>
          <w:szCs w:val="28"/>
        </w:rPr>
        <w:t>hoạt động sản xuất kinh doanh của doanh nghiệp có sự tăng trưởng mạnh mẽ</w:t>
      </w:r>
      <w:r w:rsidRPr="00ED3877">
        <w:rPr>
          <w:rFonts w:cs="Times New Roman"/>
          <w:iCs/>
          <w:sz w:val="28"/>
          <w:szCs w:val="28"/>
        </w:rPr>
        <w:t xml:space="preserve">, </w:t>
      </w:r>
      <w:r w:rsidR="00506715">
        <w:rPr>
          <w:rFonts w:cs="Times New Roman"/>
          <w:iCs/>
          <w:sz w:val="28"/>
          <w:szCs w:val="28"/>
        </w:rPr>
        <w:t xml:space="preserve">kéo </w:t>
      </w:r>
      <w:r w:rsidR="004550C5">
        <w:rPr>
          <w:rFonts w:cs="Times New Roman"/>
          <w:iCs/>
          <w:sz w:val="28"/>
          <w:szCs w:val="28"/>
        </w:rPr>
        <w:t xml:space="preserve">theo </w:t>
      </w:r>
      <w:r w:rsidR="00506715">
        <w:rPr>
          <w:rFonts w:cs="Times New Roman"/>
          <w:iCs/>
          <w:sz w:val="28"/>
          <w:szCs w:val="28"/>
        </w:rPr>
        <w:t xml:space="preserve">ngân sách thặng dư </w:t>
      </w:r>
      <w:r w:rsidR="00506715" w:rsidRPr="00ED3877">
        <w:rPr>
          <w:rFonts w:cs="Times New Roman"/>
          <w:iCs/>
          <w:sz w:val="28"/>
          <w:szCs w:val="28"/>
        </w:rPr>
        <w:t>909 tỷ Yên, là mức tích cực nhất trong nhiều năm trở lại đây</w:t>
      </w:r>
      <w:r w:rsidRPr="00ED3877">
        <w:rPr>
          <w:rFonts w:cs="Times New Roman"/>
          <w:iCs/>
          <w:sz w:val="28"/>
          <w:szCs w:val="28"/>
        </w:rPr>
        <w:t>. Tuy nhiên, trong bối cảnh kinh tế thế giới có nhiều bất ổn</w:t>
      </w:r>
      <w:r w:rsidR="00506715">
        <w:rPr>
          <w:rFonts w:cs="Times New Roman"/>
          <w:iCs/>
          <w:sz w:val="28"/>
          <w:szCs w:val="28"/>
        </w:rPr>
        <w:t xml:space="preserve">, </w:t>
      </w:r>
      <w:r w:rsidRPr="00ED3877">
        <w:rPr>
          <w:rFonts w:cs="Times New Roman"/>
          <w:iCs/>
          <w:sz w:val="28"/>
          <w:szCs w:val="28"/>
        </w:rPr>
        <w:t xml:space="preserve">việc duy trì đà tăng trưởng kinh tế là </w:t>
      </w:r>
      <w:r w:rsidRPr="00ED3877">
        <w:rPr>
          <w:rFonts w:cs="Times New Roman"/>
          <w:iCs/>
          <w:sz w:val="28"/>
          <w:szCs w:val="28"/>
        </w:rPr>
        <w:lastRenderedPageBreak/>
        <w:t>tương đối khó khăn từ đó sẽ tác động không nhỏ đến thu ngân sách trong thời gian tới.</w:t>
      </w:r>
    </w:p>
    <w:p w:rsidR="00757800" w:rsidRPr="00CE30F8" w:rsidRDefault="00757800" w:rsidP="00874F18">
      <w:pPr>
        <w:spacing w:before="120" w:after="120" w:line="312" w:lineRule="auto"/>
        <w:ind w:firstLine="567"/>
        <w:jc w:val="both"/>
        <w:rPr>
          <w:rFonts w:cs="Times New Roman"/>
          <w:b/>
          <w:sz w:val="28"/>
          <w:szCs w:val="28"/>
        </w:rPr>
      </w:pPr>
      <w:r w:rsidRPr="00CE30F8">
        <w:rPr>
          <w:rFonts w:cs="Times New Roman"/>
          <w:b/>
          <w:sz w:val="28"/>
          <w:szCs w:val="28"/>
        </w:rPr>
        <w:t>II. TÌNH HÌNH TÀI KHÓA, NGÂN SÁCH CỦA VIỆT NAM</w:t>
      </w:r>
    </w:p>
    <w:p w:rsidR="00757800" w:rsidRPr="004573F7" w:rsidRDefault="00757800" w:rsidP="00874F18">
      <w:pPr>
        <w:spacing w:before="120" w:after="120" w:line="312" w:lineRule="auto"/>
        <w:ind w:firstLine="567"/>
        <w:jc w:val="both"/>
        <w:rPr>
          <w:rFonts w:cs="Times New Roman"/>
          <w:b/>
          <w:i/>
          <w:sz w:val="28"/>
          <w:szCs w:val="28"/>
        </w:rPr>
      </w:pPr>
      <w:r w:rsidRPr="004573F7">
        <w:rPr>
          <w:rFonts w:cs="Times New Roman"/>
          <w:b/>
          <w:i/>
          <w:sz w:val="28"/>
          <w:szCs w:val="28"/>
        </w:rPr>
        <w:t xml:space="preserve">1. </w:t>
      </w:r>
      <w:r w:rsidR="002C4C68">
        <w:rPr>
          <w:rFonts w:cs="Times New Roman"/>
          <w:b/>
          <w:i/>
          <w:sz w:val="28"/>
          <w:szCs w:val="28"/>
        </w:rPr>
        <w:t>Cân đối NSNN, nợ công, nợ quốc gia</w:t>
      </w:r>
      <w:r w:rsidR="00C765E9" w:rsidRPr="004573F7">
        <w:rPr>
          <w:rFonts w:cs="Times New Roman"/>
          <w:b/>
          <w:i/>
          <w:sz w:val="28"/>
          <w:szCs w:val="28"/>
        </w:rPr>
        <w:t xml:space="preserve"> </w:t>
      </w:r>
    </w:p>
    <w:p w:rsidR="00C825D9" w:rsidRDefault="00D52896" w:rsidP="00D52896">
      <w:pPr>
        <w:ind w:firstLine="720"/>
        <w:jc w:val="both"/>
        <w:rPr>
          <w:rFonts w:cs="Times New Roman"/>
          <w:sz w:val="28"/>
          <w:szCs w:val="28"/>
        </w:rPr>
      </w:pPr>
      <w:r>
        <w:rPr>
          <w:rFonts w:cs="Times New Roman"/>
          <w:i/>
          <w:iCs/>
          <w:sz w:val="28"/>
          <w:szCs w:val="28"/>
        </w:rPr>
        <w:t xml:space="preserve">- </w:t>
      </w:r>
      <w:r w:rsidR="00D14ABE">
        <w:rPr>
          <w:rFonts w:cs="Times New Roman"/>
          <w:i/>
          <w:iCs/>
          <w:sz w:val="28"/>
          <w:szCs w:val="28"/>
        </w:rPr>
        <w:t xml:space="preserve">NSNN bội thu 15.290 tỷ đồng chủ yếu </w:t>
      </w:r>
      <w:r w:rsidR="00C825D9">
        <w:rPr>
          <w:rFonts w:cs="Times New Roman"/>
          <w:i/>
          <w:iCs/>
          <w:sz w:val="28"/>
          <w:szCs w:val="28"/>
        </w:rPr>
        <w:t xml:space="preserve">do </w:t>
      </w:r>
      <w:r w:rsidR="00C825D9" w:rsidRPr="00C825D9">
        <w:rPr>
          <w:rFonts w:cs="Times New Roman"/>
          <w:i/>
          <w:sz w:val="28"/>
          <w:szCs w:val="28"/>
        </w:rPr>
        <w:t>tiến độ thu NSNN đảm bảo trong khi tiến độ chi NSNN chậm so cùng kỳ</w:t>
      </w:r>
      <w:r w:rsidR="00C825D9">
        <w:rPr>
          <w:rFonts w:cs="Times New Roman"/>
          <w:sz w:val="28"/>
          <w:szCs w:val="28"/>
        </w:rPr>
        <w:t>.</w:t>
      </w:r>
      <w:r w:rsidRPr="00796D9F">
        <w:rPr>
          <w:rFonts w:cs="Times New Roman"/>
          <w:i/>
          <w:iCs/>
          <w:sz w:val="28"/>
          <w:szCs w:val="28"/>
        </w:rPr>
        <w:t xml:space="preserve"> </w:t>
      </w:r>
      <w:r w:rsidRPr="00796D9F">
        <w:rPr>
          <w:rFonts w:cs="Times New Roman"/>
          <w:iCs/>
          <w:sz w:val="28"/>
          <w:szCs w:val="28"/>
        </w:rPr>
        <w:t xml:space="preserve">Tính đến </w:t>
      </w:r>
      <w:r w:rsidR="007A1123">
        <w:rPr>
          <w:rFonts w:cs="Times New Roman"/>
          <w:iCs/>
          <w:sz w:val="28"/>
          <w:szCs w:val="28"/>
        </w:rPr>
        <w:t xml:space="preserve">hết tháng </w:t>
      </w:r>
      <w:r>
        <w:rPr>
          <w:rFonts w:cs="Times New Roman"/>
          <w:iCs/>
          <w:sz w:val="28"/>
          <w:szCs w:val="28"/>
        </w:rPr>
        <w:t>7/2018</w:t>
      </w:r>
      <w:r w:rsidRPr="00796D9F">
        <w:rPr>
          <w:rFonts w:cs="Times New Roman"/>
          <w:iCs/>
          <w:sz w:val="28"/>
          <w:szCs w:val="28"/>
        </w:rPr>
        <w:t xml:space="preserve">, tổng thu NSNN ước đạt </w:t>
      </w:r>
      <w:r w:rsidR="007A1123">
        <w:rPr>
          <w:rFonts w:cs="Times New Roman"/>
          <w:iCs/>
          <w:sz w:val="28"/>
          <w:szCs w:val="28"/>
        </w:rPr>
        <w:t>775.015</w:t>
      </w:r>
      <w:r w:rsidRPr="00796D9F">
        <w:rPr>
          <w:rFonts w:cs="Times New Roman"/>
          <w:iCs/>
          <w:sz w:val="28"/>
          <w:szCs w:val="28"/>
        </w:rPr>
        <w:t xml:space="preserve"> tỷ đồ</w:t>
      </w:r>
      <w:r>
        <w:rPr>
          <w:rFonts w:cs="Times New Roman"/>
          <w:iCs/>
          <w:sz w:val="28"/>
          <w:szCs w:val="28"/>
        </w:rPr>
        <w:t>ng, bằng</w:t>
      </w:r>
      <w:r w:rsidRPr="00796D9F">
        <w:rPr>
          <w:rFonts w:cs="Times New Roman"/>
          <w:iCs/>
          <w:sz w:val="28"/>
          <w:szCs w:val="28"/>
        </w:rPr>
        <w:t xml:space="preserve"> </w:t>
      </w:r>
      <w:r w:rsidR="007A1123">
        <w:rPr>
          <w:rFonts w:cs="Times New Roman"/>
          <w:iCs/>
          <w:sz w:val="28"/>
          <w:szCs w:val="28"/>
        </w:rPr>
        <w:t>58</w:t>
      </w:r>
      <w:r>
        <w:rPr>
          <w:rFonts w:cs="Times New Roman"/>
          <w:iCs/>
          <w:sz w:val="28"/>
          <w:szCs w:val="28"/>
        </w:rPr>
        <w:t>,7</w:t>
      </w:r>
      <w:r w:rsidRPr="00796D9F">
        <w:rPr>
          <w:rFonts w:cs="Times New Roman"/>
          <w:iCs/>
          <w:sz w:val="28"/>
          <w:szCs w:val="28"/>
        </w:rPr>
        <w:t xml:space="preserve">% dự toán, </w:t>
      </w:r>
      <w:r w:rsidR="00C825D9">
        <w:rPr>
          <w:rFonts w:cs="Times New Roman"/>
          <w:iCs/>
          <w:sz w:val="28"/>
          <w:szCs w:val="28"/>
        </w:rPr>
        <w:t xml:space="preserve">cao hơn mức 55% </w:t>
      </w:r>
      <w:r w:rsidR="00087223">
        <w:rPr>
          <w:rFonts w:cs="Times New Roman"/>
          <w:iCs/>
          <w:sz w:val="28"/>
          <w:szCs w:val="28"/>
        </w:rPr>
        <w:t xml:space="preserve">dự toán của </w:t>
      </w:r>
      <w:r w:rsidR="00C825D9">
        <w:rPr>
          <w:rFonts w:cs="Times New Roman"/>
          <w:iCs/>
          <w:sz w:val="28"/>
          <w:szCs w:val="28"/>
        </w:rPr>
        <w:t>cùng kỳ 2017</w:t>
      </w:r>
      <w:r w:rsidRPr="00796D9F">
        <w:rPr>
          <w:rFonts w:cs="Times New Roman"/>
          <w:iCs/>
          <w:sz w:val="28"/>
          <w:szCs w:val="28"/>
        </w:rPr>
        <w:t xml:space="preserve">. Trong đó, thu từ dầu thô đóng góp tích cực với mức tăng </w:t>
      </w:r>
      <w:r w:rsidR="007A1123">
        <w:rPr>
          <w:rFonts w:cs="Times New Roman"/>
          <w:iCs/>
          <w:sz w:val="28"/>
          <w:szCs w:val="28"/>
        </w:rPr>
        <w:t>34,4</w:t>
      </w:r>
      <w:r w:rsidRPr="00796D9F">
        <w:rPr>
          <w:rFonts w:cs="Times New Roman"/>
          <w:iCs/>
          <w:sz w:val="28"/>
          <w:szCs w:val="28"/>
        </w:rPr>
        <w:t xml:space="preserve">% so cùng kỳ, đạt </w:t>
      </w:r>
      <w:r w:rsidR="007A1123">
        <w:rPr>
          <w:rFonts w:cs="Times New Roman"/>
          <w:iCs/>
          <w:sz w:val="28"/>
          <w:szCs w:val="28"/>
        </w:rPr>
        <w:t>98,5</w:t>
      </w:r>
      <w:r w:rsidRPr="00796D9F">
        <w:rPr>
          <w:rFonts w:cs="Times New Roman"/>
          <w:iCs/>
          <w:sz w:val="28"/>
          <w:szCs w:val="28"/>
        </w:rPr>
        <w:t xml:space="preserve">% dự toán (cùng kỳ 2017 đạt </w:t>
      </w:r>
      <w:r w:rsidR="007A1123">
        <w:rPr>
          <w:rFonts w:cs="Times New Roman"/>
          <w:iCs/>
          <w:sz w:val="28"/>
          <w:szCs w:val="28"/>
        </w:rPr>
        <w:t>70,8</w:t>
      </w:r>
      <w:r w:rsidRPr="00796D9F">
        <w:rPr>
          <w:rFonts w:cs="Times New Roman"/>
          <w:iCs/>
          <w:sz w:val="28"/>
          <w:szCs w:val="28"/>
        </w:rPr>
        <w:t xml:space="preserve">% dự toán) do giá dầu thô phục hồi mạnh mẽ với mức tăng </w:t>
      </w:r>
      <w:r>
        <w:rPr>
          <w:rFonts w:cs="Times New Roman"/>
          <w:iCs/>
          <w:sz w:val="28"/>
          <w:szCs w:val="28"/>
        </w:rPr>
        <w:t>2</w:t>
      </w:r>
      <w:r w:rsidR="007A1123">
        <w:rPr>
          <w:rFonts w:cs="Times New Roman"/>
          <w:iCs/>
          <w:sz w:val="28"/>
          <w:szCs w:val="28"/>
        </w:rPr>
        <w:t>2</w:t>
      </w:r>
      <w:r w:rsidRPr="00796D9F">
        <w:rPr>
          <w:rFonts w:cs="Times New Roman"/>
          <w:iCs/>
          <w:sz w:val="28"/>
          <w:szCs w:val="28"/>
        </w:rPr>
        <w:t xml:space="preserve"> USD/thùng so với dự toán. Ở chiều ngược lạ</w:t>
      </w:r>
      <w:r>
        <w:rPr>
          <w:rFonts w:cs="Times New Roman"/>
          <w:iCs/>
          <w:sz w:val="28"/>
          <w:szCs w:val="28"/>
        </w:rPr>
        <w:t xml:space="preserve">i, </w:t>
      </w:r>
      <w:r>
        <w:rPr>
          <w:rFonts w:cs="Times New Roman"/>
          <w:sz w:val="28"/>
          <w:szCs w:val="28"/>
        </w:rPr>
        <w:t>t</w:t>
      </w:r>
      <w:r w:rsidRPr="00796D9F">
        <w:rPr>
          <w:rFonts w:cs="Times New Roman"/>
          <w:sz w:val="28"/>
          <w:szCs w:val="28"/>
        </w:rPr>
        <w:t xml:space="preserve">ổng chi NSNN ước đạt </w:t>
      </w:r>
      <w:r w:rsidR="00D14ABE">
        <w:rPr>
          <w:rFonts w:cs="Times New Roman"/>
          <w:sz w:val="28"/>
          <w:szCs w:val="28"/>
        </w:rPr>
        <w:t>759.725</w:t>
      </w:r>
      <w:r w:rsidRPr="00796D9F">
        <w:rPr>
          <w:rFonts w:cs="Times New Roman"/>
          <w:sz w:val="28"/>
          <w:szCs w:val="28"/>
        </w:rPr>
        <w:t xml:space="preserve"> tỷ đồng, bằng </w:t>
      </w:r>
      <w:r w:rsidR="00D14ABE">
        <w:rPr>
          <w:rFonts w:cs="Times New Roman"/>
          <w:sz w:val="28"/>
          <w:szCs w:val="28"/>
        </w:rPr>
        <w:t>49,9</w:t>
      </w:r>
      <w:r w:rsidRPr="00796D9F">
        <w:rPr>
          <w:rFonts w:cs="Times New Roman"/>
          <w:sz w:val="28"/>
          <w:szCs w:val="28"/>
        </w:rPr>
        <w:t>% dự toán</w:t>
      </w:r>
      <w:r w:rsidR="00C825D9">
        <w:rPr>
          <w:rFonts w:cs="Times New Roman"/>
          <w:sz w:val="28"/>
          <w:szCs w:val="28"/>
        </w:rPr>
        <w:t xml:space="preserve">, thấp hơn mức </w:t>
      </w:r>
      <w:r w:rsidR="00D14ABE">
        <w:rPr>
          <w:rFonts w:cs="Times New Roman"/>
          <w:sz w:val="28"/>
          <w:szCs w:val="28"/>
        </w:rPr>
        <w:t>50</w:t>
      </w:r>
      <w:r w:rsidRPr="00796D9F">
        <w:rPr>
          <w:rFonts w:cs="Times New Roman"/>
          <w:sz w:val="28"/>
          <w:szCs w:val="28"/>
        </w:rPr>
        <w:t>%</w:t>
      </w:r>
      <w:r w:rsidR="00D14ABE">
        <w:rPr>
          <w:rFonts w:cs="Times New Roman"/>
          <w:sz w:val="28"/>
          <w:szCs w:val="28"/>
        </w:rPr>
        <w:t xml:space="preserve"> dự toán</w:t>
      </w:r>
      <w:r w:rsidR="00C825D9">
        <w:rPr>
          <w:rFonts w:cs="Times New Roman"/>
          <w:sz w:val="28"/>
          <w:szCs w:val="28"/>
        </w:rPr>
        <w:t xml:space="preserve"> của cùng kỳ 2017. </w:t>
      </w:r>
    </w:p>
    <w:p w:rsidR="00D14ABE" w:rsidRDefault="00D14ABE" w:rsidP="00D52896">
      <w:pPr>
        <w:ind w:firstLine="720"/>
        <w:jc w:val="both"/>
        <w:rPr>
          <w:rFonts w:cs="Times New Roman"/>
          <w:sz w:val="28"/>
          <w:szCs w:val="28"/>
        </w:rPr>
      </w:pPr>
      <w:r>
        <w:rPr>
          <w:rFonts w:cs="Times New Roman"/>
          <w:sz w:val="28"/>
          <w:szCs w:val="28"/>
        </w:rPr>
        <w:t xml:space="preserve">- </w:t>
      </w:r>
      <w:r w:rsidRPr="002809C1">
        <w:rPr>
          <w:rFonts w:cs="Times New Roman"/>
          <w:i/>
          <w:sz w:val="28"/>
          <w:szCs w:val="28"/>
        </w:rPr>
        <w:t>Tuy nhiên, tình hình thực hiện NSNN trong kỳ còn một số vấn đề đáng lưu tâm:</w:t>
      </w:r>
      <w:r>
        <w:rPr>
          <w:rFonts w:cs="Times New Roman"/>
          <w:sz w:val="28"/>
          <w:szCs w:val="28"/>
        </w:rPr>
        <w:t xml:space="preserve"> </w:t>
      </w:r>
      <w:r w:rsidRPr="002809C1">
        <w:rPr>
          <w:rFonts w:cs="Times New Roman"/>
          <w:i/>
          <w:sz w:val="28"/>
          <w:szCs w:val="28"/>
        </w:rPr>
        <w:t>(i)</w:t>
      </w:r>
      <w:r w:rsidR="002809C1">
        <w:rPr>
          <w:rFonts w:cs="Times New Roman"/>
          <w:sz w:val="28"/>
          <w:szCs w:val="28"/>
        </w:rPr>
        <w:t xml:space="preserve"> Thu nội địa đến hết tháng 7/2018 đạt mức dự toán khá (56,5% dự toán) nhưng có tới 5/12 khoản thu chưa đảm bảo tiến độ, trong đó đáng chú ý là thuế thu nhập doanh nghiệp của các ngân hàng thương mại Nhà nước mới đạt 49,3% dự toán; </w:t>
      </w:r>
      <w:r w:rsidR="002809C1" w:rsidRPr="002809C1">
        <w:rPr>
          <w:rFonts w:cs="Times New Roman"/>
          <w:i/>
          <w:sz w:val="28"/>
          <w:szCs w:val="28"/>
        </w:rPr>
        <w:t>(ii)</w:t>
      </w:r>
      <w:r w:rsidR="002809C1">
        <w:rPr>
          <w:rFonts w:cs="Times New Roman"/>
          <w:sz w:val="28"/>
          <w:szCs w:val="28"/>
        </w:rPr>
        <w:t xml:space="preserve"> </w:t>
      </w:r>
      <w:r w:rsidR="00C825D9">
        <w:rPr>
          <w:rFonts w:cs="Times New Roman"/>
          <w:sz w:val="28"/>
          <w:szCs w:val="28"/>
        </w:rPr>
        <w:t>Tiến độ giải ngân vốn đầu tư XDCB tuy có cải thiện  nhưng vẫn chậm</w:t>
      </w:r>
      <w:r w:rsidR="00BD3506">
        <w:rPr>
          <w:rFonts w:cs="Times New Roman"/>
          <w:sz w:val="28"/>
          <w:szCs w:val="28"/>
        </w:rPr>
        <w:t>, đến nay vẫn còn 2,9% dự toán Quốc hội quyết định chưa được giao cho các Bộ, ngành địa phương và</w:t>
      </w:r>
      <w:r w:rsidR="00C825D9">
        <w:rPr>
          <w:rFonts w:cs="Times New Roman"/>
          <w:sz w:val="28"/>
          <w:szCs w:val="28"/>
        </w:rPr>
        <w:t xml:space="preserve"> có tới 11 đơn vị Bộ, cơ quan trung ương và địa phương có tỷ lệ giải ngân đạt dưới 10% dự toán.</w:t>
      </w:r>
    </w:p>
    <w:p w:rsidR="00C30F2D" w:rsidRPr="00CE30F8" w:rsidRDefault="00C30F2D" w:rsidP="00C30F2D">
      <w:pPr>
        <w:spacing w:before="120" w:after="120" w:line="324" w:lineRule="auto"/>
        <w:ind w:firstLine="567"/>
        <w:jc w:val="both"/>
        <w:rPr>
          <w:rFonts w:cs="Times New Roman"/>
          <w:b/>
          <w:sz w:val="28"/>
          <w:szCs w:val="28"/>
        </w:rPr>
      </w:pPr>
      <w:r>
        <w:rPr>
          <w:rFonts w:cs="Times New Roman"/>
          <w:b/>
          <w:iCs/>
          <w:sz w:val="28"/>
          <w:szCs w:val="28"/>
        </w:rPr>
        <w:t>Hình 3</w:t>
      </w:r>
      <w:r w:rsidRPr="00CE30F8">
        <w:rPr>
          <w:rFonts w:cs="Times New Roman"/>
          <w:b/>
          <w:iCs/>
          <w:sz w:val="28"/>
          <w:szCs w:val="28"/>
        </w:rPr>
        <w:t>:</w:t>
      </w:r>
      <w:r w:rsidRPr="00CE30F8">
        <w:rPr>
          <w:rFonts w:cs="Times New Roman"/>
          <w:iCs/>
          <w:sz w:val="28"/>
          <w:szCs w:val="28"/>
        </w:rPr>
        <w:t xml:space="preserve"> </w:t>
      </w:r>
      <w:r w:rsidRPr="00CE30F8">
        <w:rPr>
          <w:rFonts w:cs="Times New Roman"/>
          <w:b/>
          <w:sz w:val="28"/>
          <w:szCs w:val="28"/>
        </w:rPr>
        <w:t>Tình hình thu chi NSNN lũy kế đế</w:t>
      </w:r>
      <w:r>
        <w:rPr>
          <w:rFonts w:cs="Times New Roman"/>
          <w:b/>
          <w:sz w:val="28"/>
          <w:szCs w:val="28"/>
        </w:rPr>
        <w:t>n hết tháng 7</w:t>
      </w:r>
      <w:r w:rsidRPr="00CE30F8">
        <w:rPr>
          <w:rFonts w:cs="Times New Roman"/>
          <w:b/>
          <w:sz w:val="28"/>
          <w:szCs w:val="28"/>
        </w:rPr>
        <w:t>/2018, %</w:t>
      </w:r>
    </w:p>
    <w:tbl>
      <w:tblPr>
        <w:tblStyle w:val="TableGrid"/>
        <w:tblW w:w="9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6"/>
        <w:gridCol w:w="4973"/>
      </w:tblGrid>
      <w:tr w:rsidR="00087223" w:rsidRPr="00087223" w:rsidTr="00087223">
        <w:trPr>
          <w:trHeight w:val="4575"/>
        </w:trPr>
        <w:tc>
          <w:tcPr>
            <w:tcW w:w="4928" w:type="dxa"/>
          </w:tcPr>
          <w:p w:rsidR="00087223" w:rsidRPr="00087223" w:rsidRDefault="00087223" w:rsidP="00087223">
            <w:pPr>
              <w:jc w:val="center"/>
              <w:rPr>
                <w:rFonts w:ascii="Times New Roman" w:hAnsi="Times New Roman" w:cs="Times New Roman"/>
                <w:sz w:val="28"/>
                <w:szCs w:val="28"/>
              </w:rPr>
            </w:pPr>
            <w:r w:rsidRPr="00087223">
              <w:rPr>
                <w:rFonts w:cs="Times New Roman"/>
                <w:noProof/>
                <w:sz w:val="28"/>
                <w:szCs w:val="28"/>
              </w:rPr>
              <w:drawing>
                <wp:inline distT="0" distB="0" distL="0" distR="0">
                  <wp:extent cx="3028950" cy="2857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031" w:type="dxa"/>
          </w:tcPr>
          <w:p w:rsidR="00087223" w:rsidRPr="00087223" w:rsidRDefault="00087223" w:rsidP="00D52896">
            <w:pPr>
              <w:jc w:val="both"/>
              <w:rPr>
                <w:rFonts w:ascii="Times New Roman" w:hAnsi="Times New Roman" w:cs="Times New Roman"/>
                <w:sz w:val="28"/>
                <w:szCs w:val="28"/>
              </w:rPr>
            </w:pPr>
            <w:r w:rsidRPr="00087223">
              <w:rPr>
                <w:rFonts w:cs="Times New Roman"/>
                <w:noProof/>
                <w:sz w:val="28"/>
                <w:szCs w:val="28"/>
              </w:rPr>
              <w:drawing>
                <wp:inline distT="0" distB="0" distL="0" distR="0">
                  <wp:extent cx="3009900" cy="2800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C30F2D" w:rsidRPr="00087223" w:rsidRDefault="00087223" w:rsidP="00087223">
      <w:pPr>
        <w:ind w:firstLine="720"/>
        <w:jc w:val="right"/>
        <w:rPr>
          <w:rFonts w:cs="Times New Roman"/>
          <w:i/>
          <w:sz w:val="28"/>
          <w:szCs w:val="28"/>
        </w:rPr>
      </w:pPr>
      <w:r w:rsidRPr="00087223">
        <w:rPr>
          <w:rFonts w:cs="Times New Roman"/>
          <w:i/>
          <w:sz w:val="28"/>
          <w:szCs w:val="28"/>
        </w:rPr>
        <w:t>Nguồn: BTC</w:t>
      </w:r>
    </w:p>
    <w:p w:rsidR="00D52896" w:rsidRPr="006934BB" w:rsidRDefault="00087223" w:rsidP="00087223">
      <w:pPr>
        <w:ind w:firstLine="720"/>
        <w:rPr>
          <w:i/>
          <w:color w:val="000000" w:themeColor="text1"/>
          <w:sz w:val="28"/>
          <w:szCs w:val="28"/>
        </w:rPr>
      </w:pPr>
      <w:r w:rsidRPr="006934BB">
        <w:rPr>
          <w:sz w:val="28"/>
          <w:szCs w:val="28"/>
        </w:rPr>
        <w:lastRenderedPageBreak/>
        <w:t>-</w:t>
      </w:r>
      <w:r w:rsidR="00D52896" w:rsidRPr="006934BB">
        <w:rPr>
          <w:sz w:val="28"/>
          <w:szCs w:val="28"/>
        </w:rPr>
        <w:t xml:space="preserve"> </w:t>
      </w:r>
      <w:r w:rsidR="00AF65F6" w:rsidRPr="006934BB">
        <w:rPr>
          <w:i/>
          <w:sz w:val="28"/>
          <w:szCs w:val="28"/>
        </w:rPr>
        <w:t xml:space="preserve">Một số yếu tố có thể tác động </w:t>
      </w:r>
      <w:r w:rsidR="007236D9" w:rsidRPr="006934BB">
        <w:rPr>
          <w:i/>
          <w:sz w:val="28"/>
          <w:szCs w:val="28"/>
        </w:rPr>
        <w:t xml:space="preserve">phần nào </w:t>
      </w:r>
      <w:r w:rsidR="00AF65F6" w:rsidRPr="006934BB">
        <w:rPr>
          <w:i/>
          <w:sz w:val="28"/>
          <w:szCs w:val="28"/>
        </w:rPr>
        <w:t>tới</w:t>
      </w:r>
      <w:r w:rsidR="00AF65F6" w:rsidRPr="006934BB">
        <w:rPr>
          <w:sz w:val="28"/>
          <w:szCs w:val="28"/>
        </w:rPr>
        <w:t xml:space="preserve"> </w:t>
      </w:r>
      <w:r w:rsidR="00BF2D04" w:rsidRPr="006934BB">
        <w:rPr>
          <w:i/>
          <w:sz w:val="28"/>
          <w:szCs w:val="28"/>
        </w:rPr>
        <w:t>c</w:t>
      </w:r>
      <w:r w:rsidR="00D52896" w:rsidRPr="006934BB">
        <w:rPr>
          <w:i/>
          <w:sz w:val="28"/>
          <w:szCs w:val="28"/>
        </w:rPr>
        <w:t>ân đối NSNN</w:t>
      </w:r>
      <w:r w:rsidR="00D52896" w:rsidRPr="006934BB">
        <w:rPr>
          <w:sz w:val="28"/>
          <w:szCs w:val="28"/>
        </w:rPr>
        <w:t xml:space="preserve">, </w:t>
      </w:r>
      <w:r w:rsidR="00D52896" w:rsidRPr="006934BB">
        <w:rPr>
          <w:i/>
          <w:sz w:val="28"/>
          <w:szCs w:val="28"/>
        </w:rPr>
        <w:t xml:space="preserve">nợ công, nợ </w:t>
      </w:r>
      <w:r w:rsidR="00D52896" w:rsidRPr="006934BB">
        <w:rPr>
          <w:i/>
          <w:color w:val="000000" w:themeColor="text1"/>
          <w:sz w:val="28"/>
          <w:szCs w:val="28"/>
        </w:rPr>
        <w:t xml:space="preserve">của Quốc gia trong thời gian tới: </w:t>
      </w:r>
    </w:p>
    <w:p w:rsidR="00D52896" w:rsidRPr="006934BB" w:rsidRDefault="00D52896" w:rsidP="00D52896">
      <w:pPr>
        <w:ind w:firstLine="720"/>
        <w:jc w:val="both"/>
        <w:rPr>
          <w:color w:val="000000" w:themeColor="text1"/>
          <w:sz w:val="28"/>
          <w:szCs w:val="28"/>
        </w:rPr>
      </w:pPr>
      <w:r w:rsidRPr="006934BB">
        <w:rPr>
          <w:i/>
          <w:color w:val="000000" w:themeColor="text1"/>
          <w:sz w:val="28"/>
          <w:szCs w:val="28"/>
        </w:rPr>
        <w:t xml:space="preserve">Thứ nhất, </w:t>
      </w:r>
      <w:r w:rsidRPr="006934BB">
        <w:rPr>
          <w:color w:val="000000" w:themeColor="text1"/>
          <w:sz w:val="28"/>
          <w:szCs w:val="28"/>
        </w:rPr>
        <w:t xml:space="preserve">FED tăng lãi suất làm tăng chi phí trả nợ vay của Chính phủ trong bối cảnh tỷ trọng lãi suất thả nổi có xu hướng tăng. </w:t>
      </w:r>
    </w:p>
    <w:p w:rsidR="00D52896" w:rsidRPr="006934BB" w:rsidRDefault="00D52896" w:rsidP="00D52896">
      <w:pPr>
        <w:ind w:firstLine="720"/>
        <w:jc w:val="both"/>
        <w:rPr>
          <w:rFonts w:cs="Times New Roman"/>
          <w:color w:val="000000" w:themeColor="text1"/>
          <w:sz w:val="28"/>
          <w:szCs w:val="28"/>
        </w:rPr>
      </w:pPr>
      <w:r w:rsidRPr="006934BB">
        <w:rPr>
          <w:i/>
          <w:color w:val="000000" w:themeColor="text1"/>
          <w:sz w:val="28"/>
          <w:szCs w:val="28"/>
        </w:rPr>
        <w:t>Thứ hai,</w:t>
      </w:r>
      <w:r w:rsidRPr="006934BB">
        <w:rPr>
          <w:color w:val="000000" w:themeColor="text1"/>
          <w:sz w:val="28"/>
          <w:szCs w:val="28"/>
        </w:rPr>
        <w:t xml:space="preserve"> </w:t>
      </w:r>
      <w:r w:rsidRPr="006934BB">
        <w:rPr>
          <w:rFonts w:cs="Times New Roman"/>
          <w:color w:val="000000" w:themeColor="text1"/>
          <w:sz w:val="28"/>
          <w:szCs w:val="28"/>
        </w:rPr>
        <w:t>việc tăng lãi suất đồng USD và hiệu ứng từ cuộc chiến thương mại Mỹ - Trung sẽ tác động lên ngân ngân sách và nợ công trên hai phương diện: (i) Mỹ đã áp thuế lên một số mặt hàng thương mại của Trung Quốc.</w:t>
      </w:r>
      <w:r w:rsidR="007236D9" w:rsidRPr="006934BB">
        <w:rPr>
          <w:rFonts w:cs="Times New Roman"/>
          <w:color w:val="000000" w:themeColor="text1"/>
          <w:sz w:val="28"/>
          <w:szCs w:val="28"/>
        </w:rPr>
        <w:t xml:space="preserve"> Trong bối cảnh quy mô, quan hệ thương mại của Việt Nam với Trung Quốc lớn thì điều này </w:t>
      </w:r>
      <w:r w:rsidRPr="006934BB">
        <w:rPr>
          <w:rFonts w:cs="Times New Roman"/>
          <w:color w:val="000000" w:themeColor="text1"/>
          <w:sz w:val="28"/>
          <w:szCs w:val="28"/>
        </w:rPr>
        <w:t xml:space="preserve">sẽ ảnh hưởng tới nguồn thu ngân sách từ hoạt động sản xuất kinh doanh </w:t>
      </w:r>
      <w:r w:rsidR="007236D9" w:rsidRPr="006934BB">
        <w:rPr>
          <w:rFonts w:cs="Times New Roman"/>
          <w:color w:val="000000" w:themeColor="text1"/>
          <w:sz w:val="28"/>
          <w:szCs w:val="28"/>
        </w:rPr>
        <w:t>liên quan đến xuất nhập khẩu</w:t>
      </w:r>
      <w:r w:rsidRPr="006934BB">
        <w:rPr>
          <w:rFonts w:cs="Times New Roman"/>
          <w:color w:val="000000" w:themeColor="text1"/>
          <w:sz w:val="28"/>
          <w:szCs w:val="28"/>
        </w:rPr>
        <w:t>; (ii) Đồng Nhân dân tệ đã giảm giá (</w:t>
      </w:r>
      <w:r w:rsidR="001E7499" w:rsidRPr="006934BB">
        <w:rPr>
          <w:rFonts w:cs="Times New Roman"/>
          <w:color w:val="000000" w:themeColor="text1"/>
          <w:sz w:val="28"/>
          <w:szCs w:val="28"/>
        </w:rPr>
        <w:t>tính đến tháng 7/2018, đồng CNY giảm hơn 6% so với USD</w:t>
      </w:r>
      <w:r w:rsidRPr="006934BB">
        <w:rPr>
          <w:rFonts w:cs="Times New Roman"/>
          <w:color w:val="000000" w:themeColor="text1"/>
          <w:sz w:val="28"/>
          <w:szCs w:val="28"/>
        </w:rPr>
        <w:t>) và có thể còn tiếp tục phá giá trong bối cảnh chiến tranh thương mại leo thang gây áp lực lên tỷ giá trong nước theo hướng giảm giá VND</w:t>
      </w:r>
      <w:r w:rsidR="007236D9" w:rsidRPr="006934BB">
        <w:rPr>
          <w:rFonts w:cs="Times New Roman"/>
          <w:color w:val="000000" w:themeColor="text1"/>
          <w:sz w:val="28"/>
          <w:szCs w:val="28"/>
        </w:rPr>
        <w:t xml:space="preserve">; tuy nhiên, mức giảm giá đồng VND sẽ không lớn (không quá 2%) nên mức tác động là không đáng kể. </w:t>
      </w:r>
    </w:p>
    <w:p w:rsidR="00D52896" w:rsidRPr="008C2B84" w:rsidRDefault="00D52896" w:rsidP="00D52896">
      <w:pPr>
        <w:ind w:firstLine="720"/>
        <w:jc w:val="both"/>
        <w:rPr>
          <w:sz w:val="28"/>
          <w:szCs w:val="28"/>
        </w:rPr>
      </w:pPr>
      <w:r w:rsidRPr="00CC2962">
        <w:rPr>
          <w:rFonts w:cs="Times New Roman"/>
          <w:i/>
          <w:sz w:val="28"/>
          <w:szCs w:val="28"/>
        </w:rPr>
        <w:t>Thứ ba,</w:t>
      </w:r>
      <w:r>
        <w:rPr>
          <w:rFonts w:cs="Times New Roman"/>
          <w:sz w:val="28"/>
          <w:szCs w:val="28"/>
        </w:rPr>
        <w:t xml:space="preserve"> d</w:t>
      </w:r>
      <w:r>
        <w:rPr>
          <w:sz w:val="28"/>
          <w:szCs w:val="28"/>
        </w:rPr>
        <w:t>ư nợ vay nước ngoài ngắn hạn của các doanh nghiệp và tổ chức tín dụng theo hình thức tự vay tự trả nếu tăng đột biến như năm 2017</w:t>
      </w:r>
      <w:r>
        <w:rPr>
          <w:rStyle w:val="FootnoteReference"/>
          <w:sz w:val="28"/>
          <w:szCs w:val="28"/>
        </w:rPr>
        <w:footnoteReference w:id="2"/>
      </w:r>
      <w:r>
        <w:rPr>
          <w:sz w:val="28"/>
          <w:szCs w:val="28"/>
        </w:rPr>
        <w:t xml:space="preserve"> có thể ảnh hướng đến giới hạn nợ nước ngoài của Quốc gia (hiện đang ở mức 49% GDP, tiệm cận ngưỡng 50% GDP).</w:t>
      </w:r>
    </w:p>
    <w:p w:rsidR="00757800" w:rsidRPr="004573F7" w:rsidRDefault="00757800" w:rsidP="000415F7">
      <w:pPr>
        <w:spacing w:before="120" w:after="120" w:line="312" w:lineRule="auto"/>
        <w:ind w:firstLine="567"/>
        <w:jc w:val="both"/>
        <w:rPr>
          <w:rFonts w:cs="Times New Roman"/>
          <w:b/>
          <w:i/>
          <w:sz w:val="28"/>
          <w:szCs w:val="28"/>
        </w:rPr>
      </w:pPr>
      <w:r w:rsidRPr="004573F7">
        <w:rPr>
          <w:rFonts w:cs="Times New Roman"/>
          <w:b/>
          <w:i/>
          <w:sz w:val="28"/>
          <w:szCs w:val="28"/>
        </w:rPr>
        <w:t xml:space="preserve">2. </w:t>
      </w:r>
      <w:r w:rsidR="00161A12" w:rsidRPr="004573F7">
        <w:rPr>
          <w:rFonts w:cs="Times New Roman"/>
          <w:b/>
          <w:i/>
          <w:sz w:val="28"/>
          <w:szCs w:val="28"/>
        </w:rPr>
        <w:t>Huy động TPCP đạt thấp</w:t>
      </w:r>
    </w:p>
    <w:p w:rsidR="00EB4FDD" w:rsidRDefault="00C52B2E" w:rsidP="000415F7">
      <w:pPr>
        <w:spacing w:before="120" w:after="120" w:line="312" w:lineRule="auto"/>
        <w:ind w:firstLine="567"/>
        <w:jc w:val="both"/>
        <w:rPr>
          <w:rFonts w:cs="Times New Roman"/>
          <w:sz w:val="28"/>
          <w:szCs w:val="28"/>
        </w:rPr>
      </w:pPr>
      <w:r>
        <w:rPr>
          <w:rFonts w:cs="Times New Roman"/>
          <w:i/>
          <w:sz w:val="28"/>
          <w:szCs w:val="28"/>
        </w:rPr>
        <w:t xml:space="preserve">Mặc dù lãi suất huy động </w:t>
      </w:r>
      <w:r w:rsidR="002461ED">
        <w:rPr>
          <w:rFonts w:cs="Times New Roman"/>
          <w:i/>
          <w:sz w:val="28"/>
          <w:szCs w:val="28"/>
        </w:rPr>
        <w:t xml:space="preserve">TPCP </w:t>
      </w:r>
      <w:r>
        <w:rPr>
          <w:rFonts w:cs="Times New Roman"/>
          <w:i/>
          <w:sz w:val="28"/>
          <w:szCs w:val="28"/>
        </w:rPr>
        <w:t xml:space="preserve">có xu hướng tăng nhưng huy động TPCP </w:t>
      </w:r>
      <w:r w:rsidR="002461ED">
        <w:rPr>
          <w:rFonts w:cs="Times New Roman"/>
          <w:i/>
          <w:sz w:val="28"/>
          <w:szCs w:val="28"/>
        </w:rPr>
        <w:t>tiếp tục đạt thấ</w:t>
      </w:r>
      <w:r>
        <w:rPr>
          <w:rFonts w:cs="Times New Roman"/>
          <w:i/>
          <w:sz w:val="28"/>
          <w:szCs w:val="28"/>
        </w:rPr>
        <w:t>p</w:t>
      </w:r>
      <w:r w:rsidR="00757800" w:rsidRPr="00CE30F8">
        <w:rPr>
          <w:rFonts w:cs="Times New Roman"/>
          <w:i/>
          <w:sz w:val="28"/>
          <w:szCs w:val="28"/>
        </w:rPr>
        <w:t xml:space="preserve">. </w:t>
      </w:r>
      <w:r w:rsidR="002E1274">
        <w:rPr>
          <w:rFonts w:cs="Times New Roman"/>
          <w:sz w:val="28"/>
          <w:szCs w:val="28"/>
        </w:rPr>
        <w:t>Lãi</w:t>
      </w:r>
      <w:r w:rsidR="004A1243">
        <w:rPr>
          <w:rFonts w:cs="Times New Roman"/>
          <w:sz w:val="28"/>
          <w:szCs w:val="28"/>
        </w:rPr>
        <w:t xml:space="preserve"> suất trúng thầu có xu hướng tăng từ 0,08-0,35 điểm % so với cuối tháng 6/2018 tùy từng kỳ hạn nhưng tỷ lệ trúng thầu trong tháng 7 giảm mạnh so với tháng 6 (</w:t>
      </w:r>
      <w:r w:rsidR="002E1274">
        <w:rPr>
          <w:rFonts w:cs="Times New Roman"/>
          <w:sz w:val="28"/>
          <w:szCs w:val="28"/>
        </w:rPr>
        <w:t>từ mức 60,1% trong tháng 6 giảm xuống 49,3% trong tháng 7)</w:t>
      </w:r>
      <w:r w:rsidR="00366975">
        <w:rPr>
          <w:rFonts w:cs="Times New Roman"/>
          <w:sz w:val="28"/>
          <w:szCs w:val="28"/>
        </w:rPr>
        <w:t>.</w:t>
      </w:r>
      <w:r w:rsidR="001778BE">
        <w:rPr>
          <w:rFonts w:cs="Times New Roman"/>
          <w:sz w:val="28"/>
          <w:szCs w:val="28"/>
        </w:rPr>
        <w:t xml:space="preserve"> </w:t>
      </w:r>
      <w:r w:rsidR="00757800" w:rsidRPr="00CE30F8">
        <w:rPr>
          <w:rFonts w:cs="Times New Roman"/>
          <w:sz w:val="28"/>
          <w:szCs w:val="28"/>
        </w:rPr>
        <w:t xml:space="preserve">Lũy kế đến </w:t>
      </w:r>
      <w:r w:rsidR="002E1274">
        <w:rPr>
          <w:rFonts w:cs="Times New Roman"/>
          <w:sz w:val="28"/>
          <w:szCs w:val="28"/>
        </w:rPr>
        <w:t>30/7</w:t>
      </w:r>
      <w:r w:rsidR="00757800" w:rsidRPr="00CE30F8">
        <w:rPr>
          <w:rFonts w:cs="Times New Roman"/>
          <w:sz w:val="28"/>
          <w:szCs w:val="28"/>
        </w:rPr>
        <w:t xml:space="preserve">/2018 huy động TPCP đạt </w:t>
      </w:r>
      <w:r w:rsidR="002E1274">
        <w:rPr>
          <w:rFonts w:cs="Times New Roman"/>
          <w:sz w:val="28"/>
          <w:szCs w:val="28"/>
        </w:rPr>
        <w:t>90.001</w:t>
      </w:r>
      <w:r w:rsidR="00757800" w:rsidRPr="00CE30F8">
        <w:rPr>
          <w:rFonts w:cs="Times New Roman"/>
          <w:sz w:val="28"/>
          <w:szCs w:val="28"/>
        </w:rPr>
        <w:t xml:space="preserve"> tỷ đồng, bằ</w:t>
      </w:r>
      <w:r w:rsidR="00366975">
        <w:rPr>
          <w:rFonts w:cs="Times New Roman"/>
          <w:sz w:val="28"/>
          <w:szCs w:val="28"/>
        </w:rPr>
        <w:t xml:space="preserve">ng </w:t>
      </w:r>
      <w:r w:rsidR="002E1274">
        <w:rPr>
          <w:rFonts w:cs="Times New Roman"/>
          <w:sz w:val="28"/>
          <w:szCs w:val="28"/>
        </w:rPr>
        <w:t>45</w:t>
      </w:r>
      <w:r w:rsidR="00757800" w:rsidRPr="00CE30F8">
        <w:rPr>
          <w:rFonts w:cs="Times New Roman"/>
          <w:sz w:val="28"/>
          <w:szCs w:val="28"/>
        </w:rPr>
        <w:t>% kế hoạch năm 2018</w:t>
      </w:r>
      <w:r w:rsidR="00092A4B">
        <w:rPr>
          <w:rFonts w:cs="Times New Roman"/>
          <w:sz w:val="28"/>
          <w:szCs w:val="28"/>
        </w:rPr>
        <w:t xml:space="preserve"> (</w:t>
      </w:r>
      <w:r w:rsidR="00CD5330">
        <w:rPr>
          <w:rFonts w:cs="Times New Roman"/>
          <w:sz w:val="28"/>
          <w:szCs w:val="28"/>
        </w:rPr>
        <w:t xml:space="preserve">giảm mạnh so với mức </w:t>
      </w:r>
      <w:r w:rsidR="002E1274">
        <w:rPr>
          <w:rFonts w:cs="Times New Roman"/>
          <w:sz w:val="28"/>
          <w:szCs w:val="28"/>
        </w:rPr>
        <w:t>76,8</w:t>
      </w:r>
      <w:r w:rsidR="00CD5330">
        <w:rPr>
          <w:rFonts w:cs="Times New Roman"/>
          <w:sz w:val="28"/>
          <w:szCs w:val="28"/>
        </w:rPr>
        <w:t xml:space="preserve">% </w:t>
      </w:r>
      <w:r w:rsidR="00092A4B">
        <w:rPr>
          <w:rFonts w:cs="Times New Roman"/>
          <w:sz w:val="28"/>
          <w:szCs w:val="28"/>
        </w:rPr>
        <w:t>của cùng kỳ</w:t>
      </w:r>
      <w:r w:rsidR="00CD5330">
        <w:rPr>
          <w:rFonts w:cs="Times New Roman"/>
          <w:sz w:val="28"/>
          <w:szCs w:val="28"/>
        </w:rPr>
        <w:t xml:space="preserve"> năm 2017</w:t>
      </w:r>
      <w:r w:rsidR="00092A4B">
        <w:rPr>
          <w:rFonts w:cs="Times New Roman"/>
          <w:sz w:val="28"/>
          <w:szCs w:val="28"/>
        </w:rPr>
        <w:t>)</w:t>
      </w:r>
      <w:r w:rsidR="00EB4FDD">
        <w:rPr>
          <w:rFonts w:cs="Times New Roman"/>
          <w:sz w:val="28"/>
          <w:szCs w:val="28"/>
        </w:rPr>
        <w:t xml:space="preserve">. </w:t>
      </w:r>
      <w:r w:rsidR="002E1274">
        <w:rPr>
          <w:rFonts w:cs="Times New Roman"/>
          <w:sz w:val="28"/>
          <w:szCs w:val="28"/>
        </w:rPr>
        <w:t>Tuy nhiên, tăng trưởng tín dụng khó bứt phá trong những tháng cuối năm 2018 do</w:t>
      </w:r>
      <w:r w:rsidR="00B52F46">
        <w:rPr>
          <w:rFonts w:cs="Times New Roman"/>
          <w:sz w:val="28"/>
          <w:szCs w:val="28"/>
        </w:rPr>
        <w:t xml:space="preserve"> CSTT </w:t>
      </w:r>
      <w:r w:rsidR="00203842">
        <w:rPr>
          <w:rFonts w:cs="Times New Roman"/>
          <w:sz w:val="28"/>
          <w:szCs w:val="28"/>
        </w:rPr>
        <w:t xml:space="preserve">nhiều khả năng </w:t>
      </w:r>
      <w:r w:rsidR="00B52F46">
        <w:rPr>
          <w:rFonts w:cs="Times New Roman"/>
          <w:sz w:val="28"/>
          <w:szCs w:val="28"/>
        </w:rPr>
        <w:t>được điều hành</w:t>
      </w:r>
      <w:r w:rsidR="00F14FAF">
        <w:rPr>
          <w:rFonts w:cs="Times New Roman"/>
          <w:sz w:val="28"/>
          <w:szCs w:val="28"/>
        </w:rPr>
        <w:t xml:space="preserve"> theo hướng</w:t>
      </w:r>
      <w:r w:rsidR="00B52F46">
        <w:rPr>
          <w:rFonts w:cs="Times New Roman"/>
          <w:sz w:val="28"/>
          <w:szCs w:val="28"/>
        </w:rPr>
        <w:t xml:space="preserve"> thận trọng hơn để đảm bảo mục tiêu ổn định kinh tế vĩ mô trong bối cảnh kinh tế trong nước và thế giới nhiều biến động sẽ tạo thuận lợi cho </w:t>
      </w:r>
      <w:r w:rsidR="00203842">
        <w:rPr>
          <w:rFonts w:cs="Times New Roman"/>
          <w:sz w:val="28"/>
          <w:szCs w:val="28"/>
        </w:rPr>
        <w:t xml:space="preserve">huy động vốn trên </w:t>
      </w:r>
      <w:r w:rsidR="00B52F46">
        <w:rPr>
          <w:rFonts w:cs="Times New Roman"/>
          <w:sz w:val="28"/>
          <w:szCs w:val="28"/>
        </w:rPr>
        <w:t xml:space="preserve">thị trường TPCP trong những tháng cuối năm. </w:t>
      </w:r>
    </w:p>
    <w:p w:rsidR="00506715" w:rsidRDefault="00506715" w:rsidP="000415F7">
      <w:pPr>
        <w:spacing w:before="120" w:after="120" w:line="312" w:lineRule="auto"/>
        <w:ind w:firstLine="567"/>
        <w:jc w:val="both"/>
        <w:rPr>
          <w:rFonts w:cs="Times New Roman"/>
          <w:sz w:val="28"/>
          <w:szCs w:val="28"/>
        </w:rPr>
      </w:pPr>
    </w:p>
    <w:p w:rsidR="00506715" w:rsidRDefault="00506715" w:rsidP="000415F7">
      <w:pPr>
        <w:spacing w:before="120" w:after="120" w:line="312" w:lineRule="auto"/>
        <w:ind w:firstLine="567"/>
        <w:jc w:val="both"/>
        <w:rPr>
          <w:rFonts w:cs="Times New Roman"/>
          <w:sz w:val="28"/>
          <w:szCs w:val="28"/>
        </w:rPr>
      </w:pPr>
    </w:p>
    <w:p w:rsidR="00757800" w:rsidRPr="00CE30F8" w:rsidRDefault="00757800" w:rsidP="00EB4FDD">
      <w:pPr>
        <w:spacing w:before="120" w:after="120" w:line="312" w:lineRule="auto"/>
        <w:ind w:firstLine="720"/>
        <w:jc w:val="center"/>
        <w:rPr>
          <w:rFonts w:cs="Times New Roman"/>
          <w:b/>
          <w:sz w:val="28"/>
          <w:szCs w:val="28"/>
        </w:rPr>
      </w:pPr>
      <w:r w:rsidRPr="00CE30F8">
        <w:rPr>
          <w:rFonts w:cs="Times New Roman"/>
          <w:b/>
          <w:sz w:val="28"/>
          <w:szCs w:val="28"/>
        </w:rPr>
        <w:t xml:space="preserve">Hình </w:t>
      </w:r>
      <w:r w:rsidR="00A52095">
        <w:rPr>
          <w:rFonts w:cs="Times New Roman"/>
          <w:b/>
          <w:sz w:val="28"/>
          <w:szCs w:val="28"/>
        </w:rPr>
        <w:t>4</w:t>
      </w:r>
      <w:r w:rsidRPr="00CE30F8">
        <w:rPr>
          <w:rFonts w:cs="Times New Roman"/>
          <w:b/>
          <w:sz w:val="28"/>
          <w:szCs w:val="28"/>
        </w:rPr>
        <w:t xml:space="preserve"> : Tỷ lệ trúng thầu TPCP,%</w:t>
      </w:r>
    </w:p>
    <w:p w:rsidR="00757800" w:rsidRPr="00CE30F8" w:rsidRDefault="00B52F46" w:rsidP="0097638D">
      <w:pPr>
        <w:spacing w:before="120" w:after="120" w:line="312" w:lineRule="auto"/>
        <w:jc w:val="center"/>
        <w:rPr>
          <w:rFonts w:cs="Times New Roman"/>
          <w:b/>
          <w:sz w:val="28"/>
          <w:szCs w:val="28"/>
        </w:rPr>
      </w:pPr>
      <w:r w:rsidRPr="00B52F46">
        <w:rPr>
          <w:rFonts w:cs="Times New Roman"/>
          <w:b/>
          <w:noProof/>
          <w:sz w:val="28"/>
          <w:szCs w:val="28"/>
        </w:rPr>
        <w:drawing>
          <wp:inline distT="0" distB="0" distL="0" distR="0">
            <wp:extent cx="4819650" cy="2695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61F5" w:rsidRPr="005F0937" w:rsidRDefault="00757800" w:rsidP="005F0937">
      <w:pPr>
        <w:spacing w:before="120" w:after="120" w:line="312" w:lineRule="auto"/>
        <w:ind w:firstLine="720"/>
        <w:jc w:val="right"/>
        <w:rPr>
          <w:rFonts w:cs="Times New Roman"/>
          <w:i/>
          <w:sz w:val="28"/>
          <w:szCs w:val="28"/>
        </w:rPr>
      </w:pPr>
      <w:r w:rsidRPr="00CE30F8">
        <w:rPr>
          <w:rFonts w:cs="Times New Roman"/>
          <w:i/>
          <w:sz w:val="28"/>
          <w:szCs w:val="28"/>
        </w:rPr>
        <w:t>Nguồn: HNX</w:t>
      </w:r>
      <w:r w:rsidR="00D06C65">
        <w:rPr>
          <w:rFonts w:cs="Times New Roman"/>
          <w:i/>
          <w:sz w:val="28"/>
          <w:szCs w:val="28"/>
        </w:rPr>
        <w:t xml:space="preserve">, </w:t>
      </w:r>
      <w:r w:rsidR="00D06C65" w:rsidRPr="00C765E9">
        <w:rPr>
          <w:rFonts w:eastAsia="Times New Roman" w:cs="Times New Roman"/>
          <w:i/>
          <w:color w:val="111111"/>
          <w:sz w:val="28"/>
          <w:szCs w:val="28"/>
        </w:rPr>
        <w:t>BNC tổng hợ</w:t>
      </w:r>
      <w:r w:rsidR="005F0937">
        <w:rPr>
          <w:rFonts w:eastAsia="Times New Roman" w:cs="Times New Roman"/>
          <w:i/>
          <w:color w:val="111111"/>
          <w:sz w:val="28"/>
          <w:szCs w:val="28"/>
        </w:rPr>
        <w:t>p</w:t>
      </w:r>
    </w:p>
    <w:sectPr w:rsidR="008161F5" w:rsidRPr="005F0937" w:rsidSect="00FA27E4">
      <w:footerReference w:type="default" r:id="rId13"/>
      <w:pgSz w:w="11907" w:h="16840" w:code="9"/>
      <w:pgMar w:top="1276" w:right="1275"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2BF" w:rsidRDefault="00B442BF" w:rsidP="00CD3079">
      <w:pPr>
        <w:spacing w:after="0" w:line="240" w:lineRule="auto"/>
      </w:pPr>
      <w:r>
        <w:separator/>
      </w:r>
    </w:p>
  </w:endnote>
  <w:endnote w:type="continuationSeparator" w:id="1">
    <w:p w:rsidR="00B442BF" w:rsidRDefault="00B442BF" w:rsidP="00CD3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306704"/>
      <w:docPartObj>
        <w:docPartGallery w:val="Page Numbers (Bottom of Page)"/>
        <w:docPartUnique/>
      </w:docPartObj>
    </w:sdtPr>
    <w:sdtContent>
      <w:p w:rsidR="00AF65F6" w:rsidRDefault="00263011">
        <w:pPr>
          <w:pStyle w:val="Footer"/>
          <w:jc w:val="right"/>
        </w:pPr>
        <w:fldSimple w:instr=" PAGE   \* MERGEFORMAT ">
          <w:r w:rsidR="006934BB">
            <w:rPr>
              <w:noProof/>
            </w:rPr>
            <w:t>4</w:t>
          </w:r>
        </w:fldSimple>
      </w:p>
    </w:sdtContent>
  </w:sdt>
  <w:p w:rsidR="00AF65F6" w:rsidRDefault="00AF6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2BF" w:rsidRDefault="00B442BF" w:rsidP="00CD3079">
      <w:pPr>
        <w:spacing w:after="0" w:line="240" w:lineRule="auto"/>
      </w:pPr>
      <w:r>
        <w:separator/>
      </w:r>
    </w:p>
  </w:footnote>
  <w:footnote w:type="continuationSeparator" w:id="1">
    <w:p w:rsidR="00B442BF" w:rsidRDefault="00B442BF" w:rsidP="00CD3079">
      <w:pPr>
        <w:spacing w:after="0" w:line="240" w:lineRule="auto"/>
      </w:pPr>
      <w:r>
        <w:continuationSeparator/>
      </w:r>
    </w:p>
  </w:footnote>
  <w:footnote w:id="2">
    <w:p w:rsidR="00AF65F6" w:rsidRPr="003A6EC9" w:rsidRDefault="00AF65F6" w:rsidP="00D52896">
      <w:pPr>
        <w:pStyle w:val="FootnoteText"/>
        <w:jc w:val="both"/>
        <w:rPr>
          <w:rFonts w:cs="Times New Roman"/>
          <w:color w:val="4B4F56"/>
          <w:sz w:val="18"/>
          <w:szCs w:val="18"/>
          <w:shd w:val="clear" w:color="auto" w:fill="F1F0F0"/>
        </w:rPr>
      </w:pPr>
      <w:r>
        <w:rPr>
          <w:rStyle w:val="FootnoteReference"/>
        </w:rPr>
        <w:footnoteRef/>
      </w:r>
      <w:r>
        <w:t xml:space="preserve"> </w:t>
      </w:r>
      <w:r>
        <w:rPr>
          <w:rFonts w:cs="Times New Roman"/>
          <w:color w:val="4B4F56"/>
          <w:sz w:val="18"/>
          <w:szCs w:val="18"/>
          <w:shd w:val="clear" w:color="auto" w:fill="F1F0F0"/>
        </w:rPr>
        <w:t>D</w:t>
      </w:r>
      <w:r w:rsidRPr="00C546AA">
        <w:rPr>
          <w:rFonts w:cs="Times New Roman"/>
          <w:color w:val="4B4F56"/>
          <w:sz w:val="18"/>
          <w:szCs w:val="18"/>
          <w:shd w:val="clear" w:color="auto" w:fill="F1F0F0"/>
        </w:rPr>
        <w:t>ư nợ vay nước ngoài ngắn hạn của các doanh nghiệp và tổ chức tín dụng theo hình thức tự vay tự trả tăng đột biến, cuối năm 2017 ở mức 21,9 tỷ USD, tăng 73% so với năm 2016</w:t>
      </w:r>
      <w:r>
        <w:rPr>
          <w:rFonts w:cs="Times New Roman"/>
          <w:color w:val="4B4F56"/>
          <w:sz w:val="18"/>
          <w:szCs w:val="18"/>
          <w:shd w:val="clear" w:color="auto" w:fill="F1F0F0"/>
        </w:rPr>
        <w:t xml:space="preserve">, cao hơn mức tối đa 10%/năm của </w:t>
      </w:r>
      <w:r w:rsidRPr="003A6EC9">
        <w:rPr>
          <w:rFonts w:cs="Times New Roman"/>
          <w:color w:val="4B4F56"/>
          <w:sz w:val="18"/>
          <w:szCs w:val="18"/>
          <w:shd w:val="clear" w:color="auto" w:fill="F1F0F0"/>
        </w:rPr>
        <w:t>hạn mức tăng dư nợ nước ngoài ngắn hạn hàng năm được TTCP phê duyệt trong Chương trình quản lý nợ trung hạn 2016 - 2018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BB7"/>
    <w:multiLevelType w:val="hybridMultilevel"/>
    <w:tmpl w:val="36E452B8"/>
    <w:lvl w:ilvl="0" w:tplc="658868C2">
      <w:start w:val="3"/>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73053F0"/>
    <w:multiLevelType w:val="hybridMultilevel"/>
    <w:tmpl w:val="5E7C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000C4"/>
    <w:multiLevelType w:val="hybridMultilevel"/>
    <w:tmpl w:val="665096BA"/>
    <w:lvl w:ilvl="0" w:tplc="1520DF84">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1A7D82"/>
    <w:multiLevelType w:val="hybridMultilevel"/>
    <w:tmpl w:val="923EFD16"/>
    <w:lvl w:ilvl="0" w:tplc="6EF2D15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6C29A0"/>
    <w:multiLevelType w:val="hybridMultilevel"/>
    <w:tmpl w:val="DA50D746"/>
    <w:lvl w:ilvl="0" w:tplc="302C537E">
      <w:start w:val="1"/>
      <w:numFmt w:val="decimal"/>
      <w:suff w:val="space"/>
      <w:lvlText w:val="%1."/>
      <w:lvlJc w:val="left"/>
      <w:pPr>
        <w:ind w:left="928"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10FD2"/>
    <w:multiLevelType w:val="hybridMultilevel"/>
    <w:tmpl w:val="EFE0050A"/>
    <w:lvl w:ilvl="0" w:tplc="609250EC">
      <w:start w:val="3"/>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B6946"/>
    <w:rsid w:val="000141DE"/>
    <w:rsid w:val="000158F6"/>
    <w:rsid w:val="00016337"/>
    <w:rsid w:val="00016940"/>
    <w:rsid w:val="00031A1F"/>
    <w:rsid w:val="000412A8"/>
    <w:rsid w:val="000415F7"/>
    <w:rsid w:val="00045B7D"/>
    <w:rsid w:val="00052521"/>
    <w:rsid w:val="00066B36"/>
    <w:rsid w:val="000727B8"/>
    <w:rsid w:val="000869F4"/>
    <w:rsid w:val="00087223"/>
    <w:rsid w:val="00092A4B"/>
    <w:rsid w:val="00092DFE"/>
    <w:rsid w:val="000B7FA6"/>
    <w:rsid w:val="000E2524"/>
    <w:rsid w:val="000F0DC8"/>
    <w:rsid w:val="00102A3A"/>
    <w:rsid w:val="00110CCF"/>
    <w:rsid w:val="001171C8"/>
    <w:rsid w:val="00135921"/>
    <w:rsid w:val="00160601"/>
    <w:rsid w:val="00161A12"/>
    <w:rsid w:val="001657D1"/>
    <w:rsid w:val="0017351D"/>
    <w:rsid w:val="001778BE"/>
    <w:rsid w:val="00180790"/>
    <w:rsid w:val="001A5416"/>
    <w:rsid w:val="001E7499"/>
    <w:rsid w:val="001F5830"/>
    <w:rsid w:val="001F7D3A"/>
    <w:rsid w:val="00203842"/>
    <w:rsid w:val="002210E7"/>
    <w:rsid w:val="00221883"/>
    <w:rsid w:val="002301C7"/>
    <w:rsid w:val="002461ED"/>
    <w:rsid w:val="00252332"/>
    <w:rsid w:val="00257F72"/>
    <w:rsid w:val="00260062"/>
    <w:rsid w:val="00263011"/>
    <w:rsid w:val="00271489"/>
    <w:rsid w:val="002718A8"/>
    <w:rsid w:val="00273788"/>
    <w:rsid w:val="002809C1"/>
    <w:rsid w:val="002926D6"/>
    <w:rsid w:val="002A0F02"/>
    <w:rsid w:val="002A36D4"/>
    <w:rsid w:val="002B223E"/>
    <w:rsid w:val="002B35B4"/>
    <w:rsid w:val="002B600A"/>
    <w:rsid w:val="002B62FB"/>
    <w:rsid w:val="002C110A"/>
    <w:rsid w:val="002C1B99"/>
    <w:rsid w:val="002C207F"/>
    <w:rsid w:val="002C2F0A"/>
    <w:rsid w:val="002C4C68"/>
    <w:rsid w:val="002D2F68"/>
    <w:rsid w:val="002D33C7"/>
    <w:rsid w:val="002E1274"/>
    <w:rsid w:val="002E4FF7"/>
    <w:rsid w:val="002E67C0"/>
    <w:rsid w:val="0030785A"/>
    <w:rsid w:val="00310D4E"/>
    <w:rsid w:val="00312452"/>
    <w:rsid w:val="00313EDB"/>
    <w:rsid w:val="0033195E"/>
    <w:rsid w:val="003359B3"/>
    <w:rsid w:val="00345CE3"/>
    <w:rsid w:val="00353ED5"/>
    <w:rsid w:val="00356F3F"/>
    <w:rsid w:val="00366975"/>
    <w:rsid w:val="003815B4"/>
    <w:rsid w:val="003A5C3E"/>
    <w:rsid w:val="003B173F"/>
    <w:rsid w:val="003C14CC"/>
    <w:rsid w:val="003C3248"/>
    <w:rsid w:val="003C5EBD"/>
    <w:rsid w:val="00410CC6"/>
    <w:rsid w:val="0041586F"/>
    <w:rsid w:val="004170A4"/>
    <w:rsid w:val="00421904"/>
    <w:rsid w:val="004408FD"/>
    <w:rsid w:val="00451B9A"/>
    <w:rsid w:val="004550C5"/>
    <w:rsid w:val="004573F7"/>
    <w:rsid w:val="004662D7"/>
    <w:rsid w:val="00480645"/>
    <w:rsid w:val="00487A5C"/>
    <w:rsid w:val="00491865"/>
    <w:rsid w:val="0049523D"/>
    <w:rsid w:val="004A1243"/>
    <w:rsid w:val="004A4D12"/>
    <w:rsid w:val="004B563D"/>
    <w:rsid w:val="004B6468"/>
    <w:rsid w:val="004C19E8"/>
    <w:rsid w:val="004C682E"/>
    <w:rsid w:val="004F006A"/>
    <w:rsid w:val="0050043D"/>
    <w:rsid w:val="00505C72"/>
    <w:rsid w:val="00506715"/>
    <w:rsid w:val="00512BF2"/>
    <w:rsid w:val="00525BCF"/>
    <w:rsid w:val="005378D6"/>
    <w:rsid w:val="00540079"/>
    <w:rsid w:val="00560CDF"/>
    <w:rsid w:val="00584BF1"/>
    <w:rsid w:val="0058643F"/>
    <w:rsid w:val="0059335E"/>
    <w:rsid w:val="005A2368"/>
    <w:rsid w:val="005A4BD0"/>
    <w:rsid w:val="005A5936"/>
    <w:rsid w:val="005C46F2"/>
    <w:rsid w:val="005C607E"/>
    <w:rsid w:val="005C76C2"/>
    <w:rsid w:val="005D6703"/>
    <w:rsid w:val="005E31B6"/>
    <w:rsid w:val="005E3767"/>
    <w:rsid w:val="005E7EA6"/>
    <w:rsid w:val="005F0937"/>
    <w:rsid w:val="005F4AC5"/>
    <w:rsid w:val="0061216F"/>
    <w:rsid w:val="006206B3"/>
    <w:rsid w:val="00624348"/>
    <w:rsid w:val="00626BFA"/>
    <w:rsid w:val="006477E8"/>
    <w:rsid w:val="006812E2"/>
    <w:rsid w:val="006934BB"/>
    <w:rsid w:val="006A1D18"/>
    <w:rsid w:val="006A2442"/>
    <w:rsid w:val="006D0E47"/>
    <w:rsid w:val="006E1BE3"/>
    <w:rsid w:val="006F4C32"/>
    <w:rsid w:val="006F53D4"/>
    <w:rsid w:val="006F7621"/>
    <w:rsid w:val="007003AC"/>
    <w:rsid w:val="00712F60"/>
    <w:rsid w:val="007175FE"/>
    <w:rsid w:val="007236D9"/>
    <w:rsid w:val="00725AEA"/>
    <w:rsid w:val="00734A52"/>
    <w:rsid w:val="00743E0E"/>
    <w:rsid w:val="00745CD4"/>
    <w:rsid w:val="00747606"/>
    <w:rsid w:val="00751462"/>
    <w:rsid w:val="00757800"/>
    <w:rsid w:val="00773369"/>
    <w:rsid w:val="007933B4"/>
    <w:rsid w:val="007A05D7"/>
    <w:rsid w:val="007A1123"/>
    <w:rsid w:val="007C4EFB"/>
    <w:rsid w:val="007C5ECF"/>
    <w:rsid w:val="007D1467"/>
    <w:rsid w:val="007E7D91"/>
    <w:rsid w:val="007F7BEB"/>
    <w:rsid w:val="00807EFB"/>
    <w:rsid w:val="00815155"/>
    <w:rsid w:val="008161F5"/>
    <w:rsid w:val="00854E75"/>
    <w:rsid w:val="00857306"/>
    <w:rsid w:val="0086091F"/>
    <w:rsid w:val="00864789"/>
    <w:rsid w:val="00874133"/>
    <w:rsid w:val="00874F18"/>
    <w:rsid w:val="00885B92"/>
    <w:rsid w:val="008A1824"/>
    <w:rsid w:val="008B45F5"/>
    <w:rsid w:val="008B682A"/>
    <w:rsid w:val="008B7944"/>
    <w:rsid w:val="008D22F7"/>
    <w:rsid w:val="008F2F28"/>
    <w:rsid w:val="009032B1"/>
    <w:rsid w:val="0090564D"/>
    <w:rsid w:val="00910CBA"/>
    <w:rsid w:val="009234ED"/>
    <w:rsid w:val="0096120D"/>
    <w:rsid w:val="00964C14"/>
    <w:rsid w:val="00964FF0"/>
    <w:rsid w:val="0097010C"/>
    <w:rsid w:val="0097638D"/>
    <w:rsid w:val="009A159F"/>
    <w:rsid w:val="009A2400"/>
    <w:rsid w:val="009B3E3D"/>
    <w:rsid w:val="009C3CA9"/>
    <w:rsid w:val="009C7849"/>
    <w:rsid w:val="009E4BA2"/>
    <w:rsid w:val="009E6F73"/>
    <w:rsid w:val="009F70BE"/>
    <w:rsid w:val="00A17372"/>
    <w:rsid w:val="00A200DC"/>
    <w:rsid w:val="00A348AC"/>
    <w:rsid w:val="00A37468"/>
    <w:rsid w:val="00A47E46"/>
    <w:rsid w:val="00A51CE4"/>
    <w:rsid w:val="00A52095"/>
    <w:rsid w:val="00A8020F"/>
    <w:rsid w:val="00A82C08"/>
    <w:rsid w:val="00A859CA"/>
    <w:rsid w:val="00AA3A73"/>
    <w:rsid w:val="00AA3F90"/>
    <w:rsid w:val="00AA724A"/>
    <w:rsid w:val="00AB115D"/>
    <w:rsid w:val="00AB11BE"/>
    <w:rsid w:val="00AB603D"/>
    <w:rsid w:val="00AB6946"/>
    <w:rsid w:val="00AC0239"/>
    <w:rsid w:val="00AC07E3"/>
    <w:rsid w:val="00AD3D90"/>
    <w:rsid w:val="00AE1DB6"/>
    <w:rsid w:val="00AF316E"/>
    <w:rsid w:val="00AF65F6"/>
    <w:rsid w:val="00AF6AF1"/>
    <w:rsid w:val="00AF76FA"/>
    <w:rsid w:val="00B043B9"/>
    <w:rsid w:val="00B156D2"/>
    <w:rsid w:val="00B228D7"/>
    <w:rsid w:val="00B22F67"/>
    <w:rsid w:val="00B305F5"/>
    <w:rsid w:val="00B32739"/>
    <w:rsid w:val="00B33B96"/>
    <w:rsid w:val="00B442BF"/>
    <w:rsid w:val="00B44328"/>
    <w:rsid w:val="00B47764"/>
    <w:rsid w:val="00B52F46"/>
    <w:rsid w:val="00B72860"/>
    <w:rsid w:val="00B9600E"/>
    <w:rsid w:val="00B96ABD"/>
    <w:rsid w:val="00BA5A6D"/>
    <w:rsid w:val="00BB5C12"/>
    <w:rsid w:val="00BC3661"/>
    <w:rsid w:val="00BD3506"/>
    <w:rsid w:val="00BE2C34"/>
    <w:rsid w:val="00BE65B7"/>
    <w:rsid w:val="00BF142C"/>
    <w:rsid w:val="00BF2D04"/>
    <w:rsid w:val="00BF3807"/>
    <w:rsid w:val="00BF4B81"/>
    <w:rsid w:val="00C00AD3"/>
    <w:rsid w:val="00C01546"/>
    <w:rsid w:val="00C02B59"/>
    <w:rsid w:val="00C07304"/>
    <w:rsid w:val="00C17D0D"/>
    <w:rsid w:val="00C23AE0"/>
    <w:rsid w:val="00C30F2D"/>
    <w:rsid w:val="00C321F5"/>
    <w:rsid w:val="00C3475D"/>
    <w:rsid w:val="00C44F4E"/>
    <w:rsid w:val="00C45528"/>
    <w:rsid w:val="00C52B2E"/>
    <w:rsid w:val="00C63D25"/>
    <w:rsid w:val="00C67F73"/>
    <w:rsid w:val="00C765E9"/>
    <w:rsid w:val="00C820CB"/>
    <w:rsid w:val="00C825D9"/>
    <w:rsid w:val="00C91756"/>
    <w:rsid w:val="00C91E5F"/>
    <w:rsid w:val="00CA296A"/>
    <w:rsid w:val="00CB5523"/>
    <w:rsid w:val="00CD1FF4"/>
    <w:rsid w:val="00CD3079"/>
    <w:rsid w:val="00CD5330"/>
    <w:rsid w:val="00CD73CF"/>
    <w:rsid w:val="00CE30F8"/>
    <w:rsid w:val="00CF5348"/>
    <w:rsid w:val="00D06C65"/>
    <w:rsid w:val="00D07904"/>
    <w:rsid w:val="00D10D3F"/>
    <w:rsid w:val="00D14ABE"/>
    <w:rsid w:val="00D37691"/>
    <w:rsid w:val="00D42A0E"/>
    <w:rsid w:val="00D52896"/>
    <w:rsid w:val="00D60342"/>
    <w:rsid w:val="00D609B6"/>
    <w:rsid w:val="00D87351"/>
    <w:rsid w:val="00DA6F23"/>
    <w:rsid w:val="00DB3A23"/>
    <w:rsid w:val="00DB509D"/>
    <w:rsid w:val="00DD7182"/>
    <w:rsid w:val="00DF23C4"/>
    <w:rsid w:val="00E13CB8"/>
    <w:rsid w:val="00E2154D"/>
    <w:rsid w:val="00E236AC"/>
    <w:rsid w:val="00E324CC"/>
    <w:rsid w:val="00E340D1"/>
    <w:rsid w:val="00E34ADF"/>
    <w:rsid w:val="00E62694"/>
    <w:rsid w:val="00E70426"/>
    <w:rsid w:val="00E73B54"/>
    <w:rsid w:val="00E816BE"/>
    <w:rsid w:val="00E83324"/>
    <w:rsid w:val="00E86FFB"/>
    <w:rsid w:val="00E926B1"/>
    <w:rsid w:val="00E964E6"/>
    <w:rsid w:val="00EA531E"/>
    <w:rsid w:val="00EB4D6D"/>
    <w:rsid w:val="00EB4FDD"/>
    <w:rsid w:val="00ED3877"/>
    <w:rsid w:val="00EE307D"/>
    <w:rsid w:val="00EE677C"/>
    <w:rsid w:val="00EF62EC"/>
    <w:rsid w:val="00F018A3"/>
    <w:rsid w:val="00F06006"/>
    <w:rsid w:val="00F111C2"/>
    <w:rsid w:val="00F14FAF"/>
    <w:rsid w:val="00F17F3F"/>
    <w:rsid w:val="00F27E1C"/>
    <w:rsid w:val="00F65711"/>
    <w:rsid w:val="00F74665"/>
    <w:rsid w:val="00FA27E4"/>
    <w:rsid w:val="00FB32E4"/>
    <w:rsid w:val="00FD0571"/>
    <w:rsid w:val="00FE19FC"/>
    <w:rsid w:val="00FE28F0"/>
    <w:rsid w:val="00FE7723"/>
    <w:rsid w:val="00FF7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586F"/>
    <w:pPr>
      <w:ind w:left="720"/>
      <w:contextualSpacing/>
    </w:pPr>
  </w:style>
  <w:style w:type="paragraph" w:styleId="FootnoteText">
    <w:name w:val="footnote text"/>
    <w:basedOn w:val="Normal"/>
    <w:link w:val="FootnoteTextChar"/>
    <w:uiPriority w:val="99"/>
    <w:semiHidden/>
    <w:unhideWhenUsed/>
    <w:rsid w:val="00CD3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079"/>
    <w:rPr>
      <w:sz w:val="20"/>
      <w:szCs w:val="20"/>
    </w:rPr>
  </w:style>
  <w:style w:type="character" w:styleId="FootnoteReference">
    <w:name w:val="footnote reference"/>
    <w:basedOn w:val="DefaultParagraphFont"/>
    <w:uiPriority w:val="99"/>
    <w:semiHidden/>
    <w:unhideWhenUsed/>
    <w:rsid w:val="00CD3079"/>
    <w:rPr>
      <w:vertAlign w:val="superscript"/>
    </w:rPr>
  </w:style>
  <w:style w:type="table" w:styleId="TableGrid">
    <w:name w:val="Table Grid"/>
    <w:basedOn w:val="TableNormal"/>
    <w:uiPriority w:val="59"/>
    <w:rsid w:val="0075780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00"/>
    <w:rPr>
      <w:rFonts w:ascii="Tahoma" w:hAnsi="Tahoma" w:cs="Tahoma"/>
      <w:sz w:val="16"/>
      <w:szCs w:val="16"/>
    </w:rPr>
  </w:style>
  <w:style w:type="paragraph" w:styleId="NormalWeb">
    <w:name w:val="Normal (Web)"/>
    <w:basedOn w:val="Normal"/>
    <w:uiPriority w:val="99"/>
    <w:rsid w:val="00353ED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9523D"/>
    <w:rPr>
      <w:i/>
      <w:iCs/>
    </w:rPr>
  </w:style>
  <w:style w:type="paragraph" w:styleId="Header">
    <w:name w:val="header"/>
    <w:basedOn w:val="Normal"/>
    <w:link w:val="HeaderChar"/>
    <w:uiPriority w:val="99"/>
    <w:semiHidden/>
    <w:unhideWhenUsed/>
    <w:rsid w:val="00E21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54D"/>
  </w:style>
  <w:style w:type="paragraph" w:styleId="Footer">
    <w:name w:val="footer"/>
    <w:basedOn w:val="Normal"/>
    <w:link w:val="FooterChar"/>
    <w:uiPriority w:val="99"/>
    <w:unhideWhenUsed/>
    <w:rsid w:val="00E2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4D"/>
  </w:style>
  <w:style w:type="character" w:customStyle="1" w:styleId="ListParagraphChar">
    <w:name w:val="List Paragraph Char"/>
    <w:basedOn w:val="DefaultParagraphFont"/>
    <w:link w:val="ListParagraph"/>
    <w:uiPriority w:val="34"/>
    <w:locked/>
    <w:rsid w:val="00D52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6F"/>
    <w:pPr>
      <w:ind w:left="720"/>
      <w:contextualSpacing/>
    </w:pPr>
  </w:style>
  <w:style w:type="paragraph" w:styleId="FootnoteText">
    <w:name w:val="footnote text"/>
    <w:basedOn w:val="Normal"/>
    <w:link w:val="FootnoteTextChar"/>
    <w:uiPriority w:val="99"/>
    <w:semiHidden/>
    <w:unhideWhenUsed/>
    <w:rsid w:val="00CD3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079"/>
    <w:rPr>
      <w:sz w:val="20"/>
      <w:szCs w:val="20"/>
    </w:rPr>
  </w:style>
  <w:style w:type="character" w:styleId="FootnoteReference">
    <w:name w:val="footnote reference"/>
    <w:basedOn w:val="DefaultParagraphFont"/>
    <w:uiPriority w:val="99"/>
    <w:semiHidden/>
    <w:unhideWhenUsed/>
    <w:rsid w:val="00CD3079"/>
    <w:rPr>
      <w:vertAlign w:val="superscript"/>
    </w:rPr>
  </w:style>
  <w:style w:type="table" w:styleId="TableGrid">
    <w:name w:val="Table Grid"/>
    <w:basedOn w:val="TableNormal"/>
    <w:uiPriority w:val="59"/>
    <w:rsid w:val="0075780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00"/>
    <w:rPr>
      <w:rFonts w:ascii="Tahoma" w:hAnsi="Tahoma" w:cs="Tahoma"/>
      <w:sz w:val="16"/>
      <w:szCs w:val="16"/>
    </w:rPr>
  </w:style>
  <w:style w:type="paragraph" w:styleId="NormalWeb">
    <w:name w:val="Normal (Web)"/>
    <w:basedOn w:val="Normal"/>
    <w:uiPriority w:val="99"/>
    <w:rsid w:val="00353ED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9523D"/>
    <w:rPr>
      <w:i/>
      <w:iCs/>
    </w:rPr>
  </w:style>
</w:styles>
</file>

<file path=word/webSettings.xml><?xml version="1.0" encoding="utf-8"?>
<w:webSettings xmlns:r="http://schemas.openxmlformats.org/officeDocument/2006/relationships" xmlns:w="http://schemas.openxmlformats.org/wordprocessingml/2006/main">
  <w:divs>
    <w:div w:id="52972191">
      <w:bodyDiv w:val="1"/>
      <w:marLeft w:val="0"/>
      <w:marRight w:val="0"/>
      <w:marTop w:val="0"/>
      <w:marBottom w:val="0"/>
      <w:divBdr>
        <w:top w:val="none" w:sz="0" w:space="0" w:color="auto"/>
        <w:left w:val="none" w:sz="0" w:space="0" w:color="auto"/>
        <w:bottom w:val="none" w:sz="0" w:space="0" w:color="auto"/>
        <w:right w:val="none" w:sz="0" w:space="0" w:color="auto"/>
      </w:divBdr>
    </w:div>
    <w:div w:id="1740246798">
      <w:bodyDiv w:val="1"/>
      <w:marLeft w:val="0"/>
      <w:marRight w:val="0"/>
      <w:marTop w:val="0"/>
      <w:marBottom w:val="0"/>
      <w:divBdr>
        <w:top w:val="none" w:sz="0" w:space="0" w:color="auto"/>
        <w:left w:val="none" w:sz="0" w:space="0" w:color="auto"/>
        <w:bottom w:val="none" w:sz="0" w:space="0" w:color="auto"/>
        <w:right w:val="none" w:sz="0" w:space="0" w:color="auto"/>
      </w:divBdr>
    </w:div>
    <w:div w:id="18149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B&#7843;ng%20ph&#7909;%20l&#7909;c%20s&#7889;%20li&#7879;u%20T7.18%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B&#7843;ng%20ph&#7909;%20l&#7909;c%20s&#7889;%20li&#7879;u%20T7.18%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ONDN\S&#7889;%20li&#7879;u%20T&#224;i%20ch&#237;nh%20c&#244;ng\S&#7889;%20li&#7879;u%20ng&#226;n%20s&#225;ch%20v&#224;%20n&#7907;%20c&#244;ng\Copy%20of%2013.TPCP%20va%20C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Thâm hụt ngân sách tháng</c:v>
                </c:pt>
              </c:strCache>
            </c:strRef>
          </c:tx>
          <c:spPr>
            <a:solidFill>
              <a:schemeClr val="accent3">
                <a:lumMod val="20000"/>
                <a:lumOff val="80000"/>
              </a:schemeClr>
            </a:solidFill>
            <a:ln>
              <a:solidFill>
                <a:schemeClr val="tx2">
                  <a:lumMod val="60000"/>
                  <a:lumOff val="40000"/>
                </a:schemeClr>
              </a:solidFill>
            </a:ln>
          </c:spPr>
          <c:cat>
            <c:strRef>
              <c:f>Sheet1!$A$2:$A$10</c:f>
              <c:strCache>
                <c:ptCount val="9"/>
                <c:pt idx="0">
                  <c:v>T10</c:v>
                </c:pt>
                <c:pt idx="1">
                  <c:v>T11</c:v>
                </c:pt>
                <c:pt idx="2">
                  <c:v>T12</c:v>
                </c:pt>
                <c:pt idx="3">
                  <c:v>T1</c:v>
                </c:pt>
                <c:pt idx="4">
                  <c:v>T2</c:v>
                </c:pt>
                <c:pt idx="5">
                  <c:v>T3</c:v>
                </c:pt>
                <c:pt idx="6">
                  <c:v>T4</c:v>
                </c:pt>
                <c:pt idx="7">
                  <c:v>T5</c:v>
                </c:pt>
                <c:pt idx="8">
                  <c:v>T6</c:v>
                </c:pt>
              </c:strCache>
            </c:strRef>
          </c:cat>
          <c:val>
            <c:numRef>
              <c:f>Sheet1!$B$2:$B$10</c:f>
              <c:numCache>
                <c:formatCode>General</c:formatCode>
                <c:ptCount val="9"/>
                <c:pt idx="0">
                  <c:v>62</c:v>
                </c:pt>
                <c:pt idx="1">
                  <c:v>139</c:v>
                </c:pt>
                <c:pt idx="2">
                  <c:v>23</c:v>
                </c:pt>
                <c:pt idx="3">
                  <c:v>-49</c:v>
                </c:pt>
                <c:pt idx="4">
                  <c:v>215</c:v>
                </c:pt>
                <c:pt idx="5">
                  <c:v>209</c:v>
                </c:pt>
                <c:pt idx="6">
                  <c:v>-214</c:v>
                </c:pt>
                <c:pt idx="7">
                  <c:v>147</c:v>
                </c:pt>
                <c:pt idx="8">
                  <c:v>75</c:v>
                </c:pt>
              </c:numCache>
            </c:numRef>
          </c:val>
        </c:ser>
        <c:ser>
          <c:idx val="1"/>
          <c:order val="1"/>
          <c:tx>
            <c:strRef>
              <c:f>Sheet1!$C$1</c:f>
              <c:strCache>
                <c:ptCount val="1"/>
                <c:pt idx="0">
                  <c:v>Thâm hụt ngân sách lũy kế</c:v>
                </c:pt>
              </c:strCache>
            </c:strRef>
          </c:tx>
          <c:spPr>
            <a:solidFill>
              <a:schemeClr val="accent3">
                <a:lumMod val="60000"/>
                <a:lumOff val="40000"/>
              </a:schemeClr>
            </a:solidFill>
            <a:ln>
              <a:solidFill>
                <a:schemeClr val="tx2">
                  <a:lumMod val="60000"/>
                  <a:lumOff val="40000"/>
                </a:schemeClr>
              </a:solidFill>
            </a:ln>
          </c:spPr>
          <c:cat>
            <c:strRef>
              <c:f>Sheet1!$A$2:$A$10</c:f>
              <c:strCache>
                <c:ptCount val="9"/>
                <c:pt idx="0">
                  <c:v>T10</c:v>
                </c:pt>
                <c:pt idx="1">
                  <c:v>T11</c:v>
                </c:pt>
                <c:pt idx="2">
                  <c:v>T12</c:v>
                </c:pt>
                <c:pt idx="3">
                  <c:v>T1</c:v>
                </c:pt>
                <c:pt idx="4">
                  <c:v>T2</c:v>
                </c:pt>
                <c:pt idx="5">
                  <c:v>T3</c:v>
                </c:pt>
                <c:pt idx="6">
                  <c:v>T4</c:v>
                </c:pt>
                <c:pt idx="7">
                  <c:v>T5</c:v>
                </c:pt>
                <c:pt idx="8">
                  <c:v>T6</c:v>
                </c:pt>
              </c:strCache>
            </c:strRef>
          </c:cat>
          <c:val>
            <c:numRef>
              <c:f>Sheet1!$C$2:$C$10</c:f>
              <c:numCache>
                <c:formatCode>General</c:formatCode>
                <c:ptCount val="9"/>
                <c:pt idx="0">
                  <c:v>62</c:v>
                </c:pt>
                <c:pt idx="1">
                  <c:v>201</c:v>
                </c:pt>
                <c:pt idx="2">
                  <c:v>224</c:v>
                </c:pt>
                <c:pt idx="3">
                  <c:v>175</c:v>
                </c:pt>
                <c:pt idx="4">
                  <c:v>390</c:v>
                </c:pt>
                <c:pt idx="5">
                  <c:v>599</c:v>
                </c:pt>
                <c:pt idx="6">
                  <c:v>385</c:v>
                </c:pt>
                <c:pt idx="7">
                  <c:v>532</c:v>
                </c:pt>
                <c:pt idx="8">
                  <c:v>607</c:v>
                </c:pt>
              </c:numCache>
            </c:numRef>
          </c:val>
        </c:ser>
        <c:gapWidth val="101"/>
        <c:overlap val="-1"/>
        <c:axId val="93239168"/>
        <c:axId val="94491008"/>
      </c:barChart>
      <c:catAx>
        <c:axId val="93239168"/>
        <c:scaling>
          <c:orientation val="minMax"/>
        </c:scaling>
        <c:axPos val="b"/>
        <c:maj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94491008"/>
        <c:crosses val="autoZero"/>
        <c:auto val="1"/>
        <c:lblAlgn val="ctr"/>
        <c:lblOffset val="100"/>
      </c:catAx>
      <c:valAx>
        <c:axId val="94491008"/>
        <c:scaling>
          <c:orientation val="minMax"/>
        </c:scaling>
        <c:axPos val="l"/>
        <c:majorGridlines>
          <c:spPr>
            <a:ln>
              <a:prstDash val="sysDash"/>
            </a:ln>
          </c:spPr>
        </c:majorGridlines>
        <c:numFmt formatCode="General" sourceLinked="1"/>
        <c:maj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en-US"/>
          </a:p>
        </c:txPr>
        <c:crossAx val="93239168"/>
        <c:crosses val="autoZero"/>
        <c:crossBetween val="between"/>
        <c:majorUnit val="400"/>
      </c:valAx>
    </c:plotArea>
    <c:legend>
      <c:legendPos val="b"/>
      <c:layout>
        <c:manualLayout>
          <c:xMode val="edge"/>
          <c:yMode val="edge"/>
          <c:x val="0.15775722906431591"/>
          <c:y val="0.86391601049868894"/>
          <c:w val="0.75514063306189527"/>
          <c:h val="0.10052843394575678"/>
        </c:manualLayout>
      </c:layout>
      <c:txPr>
        <a:bodyPr/>
        <a:lstStyle/>
        <a:p>
          <a:pPr>
            <a:defRPr b="1">
              <a:latin typeface="Times New Roman" panose="02020603050405020304" pitchFamily="18" charset="0"/>
              <a:cs typeface="Times New Roman" panose="02020603050405020304"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4.9549549549549488E-2"/>
          <c:y val="1.1244094488188972E-3"/>
          <c:w val="0.86936936936936937"/>
          <c:h val="0.73435975503062112"/>
        </c:manualLayout>
      </c:layout>
      <c:barChart>
        <c:barDir val="col"/>
        <c:grouping val="clustered"/>
        <c:ser>
          <c:idx val="0"/>
          <c:order val="0"/>
          <c:tx>
            <c:strRef>
              <c:f>'Đồ thị'!$M$6</c:f>
              <c:strCache>
                <c:ptCount val="1"/>
                <c:pt idx="0">
                  <c:v>% tăng giảm cùng kỳ 2017</c:v>
                </c:pt>
              </c:strCache>
            </c:strRef>
          </c:tx>
          <c:spPr>
            <a:solidFill>
              <a:schemeClr val="accent3">
                <a:lumMod val="20000"/>
                <a:lumOff val="80000"/>
              </a:schemeClr>
            </a:solidFill>
            <a:ln>
              <a:solidFill>
                <a:schemeClr val="bg1">
                  <a:lumMod val="65000"/>
                </a:schemeClr>
              </a:solidFill>
            </a:ln>
          </c:spPr>
          <c:dLbls>
            <c:numFmt formatCode="#,##00" sourceLinked="0"/>
            <c:txPr>
              <a:bodyPr/>
              <a:lstStyle/>
              <a:p>
                <a:pPr>
                  <a:defRPr b="1">
                    <a:latin typeface="Times New Roman" panose="02020603050405020304" pitchFamily="18" charset="0"/>
                    <a:cs typeface="Times New Roman" panose="02020603050405020304" pitchFamily="18" charset="0"/>
                  </a:defRPr>
                </a:pPr>
                <a:endParaRPr lang="en-US"/>
              </a:p>
            </c:txPr>
            <c:showVal val="1"/>
          </c:dLbls>
          <c:cat>
            <c:strRef>
              <c:f>'Đồ thị'!$L$7:$L$10</c:f>
              <c:strCache>
                <c:ptCount val="4"/>
                <c:pt idx="0">
                  <c:v>Tổng thu NSNN</c:v>
                </c:pt>
                <c:pt idx="1">
                  <c:v>Thu nội địa</c:v>
                </c:pt>
                <c:pt idx="2">
                  <c:v>Thu từ dầu thô</c:v>
                </c:pt>
                <c:pt idx="3">
                  <c:v>Thu từ XNK</c:v>
                </c:pt>
              </c:strCache>
            </c:strRef>
          </c:cat>
          <c:val>
            <c:numRef>
              <c:f>'Đồ thị'!$M$7:$M$10</c:f>
              <c:numCache>
                <c:formatCode>#.#00</c:formatCode>
                <c:ptCount val="4"/>
                <c:pt idx="0">
                  <c:v>13.4</c:v>
                </c:pt>
                <c:pt idx="1">
                  <c:v>14.3</c:v>
                </c:pt>
                <c:pt idx="2">
                  <c:v>34.300000000000004</c:v>
                </c:pt>
                <c:pt idx="3">
                  <c:v>3.5999999999999988</c:v>
                </c:pt>
              </c:numCache>
            </c:numRef>
          </c:val>
        </c:ser>
        <c:ser>
          <c:idx val="1"/>
          <c:order val="1"/>
          <c:tx>
            <c:strRef>
              <c:f>'Đồ thị'!$N$6</c:f>
              <c:strCache>
                <c:ptCount val="1"/>
                <c:pt idx="0">
                  <c:v>% thực hiện dự toán</c:v>
                </c:pt>
              </c:strCache>
            </c:strRef>
          </c:tx>
          <c:spPr>
            <a:solidFill>
              <a:schemeClr val="accent3">
                <a:lumMod val="60000"/>
                <a:lumOff val="40000"/>
              </a:schemeClr>
            </a:solidFill>
            <a:ln>
              <a:solidFill>
                <a:schemeClr val="bg1">
                  <a:lumMod val="65000"/>
                </a:schemeClr>
              </a:solidFill>
            </a:ln>
          </c:spPr>
          <c:dLbls>
            <c:numFmt formatCode="#,##00" sourceLinked="0"/>
            <c:txPr>
              <a:bodyPr/>
              <a:lstStyle/>
              <a:p>
                <a:pPr>
                  <a:defRPr b="1">
                    <a:latin typeface="Times New Roman" panose="02020603050405020304" pitchFamily="18" charset="0"/>
                    <a:cs typeface="Times New Roman" panose="02020603050405020304" pitchFamily="18" charset="0"/>
                  </a:defRPr>
                </a:pPr>
                <a:endParaRPr lang="en-US"/>
              </a:p>
            </c:txPr>
            <c:showVal val="1"/>
          </c:dLbls>
          <c:cat>
            <c:strRef>
              <c:f>'Đồ thị'!$L$7:$L$10</c:f>
              <c:strCache>
                <c:ptCount val="4"/>
                <c:pt idx="0">
                  <c:v>Tổng thu NSNN</c:v>
                </c:pt>
                <c:pt idx="1">
                  <c:v>Thu nội địa</c:v>
                </c:pt>
                <c:pt idx="2">
                  <c:v>Thu từ dầu thô</c:v>
                </c:pt>
                <c:pt idx="3">
                  <c:v>Thu từ XNK</c:v>
                </c:pt>
              </c:strCache>
            </c:strRef>
          </c:cat>
          <c:val>
            <c:numRef>
              <c:f>'Đồ thị'!$N$7:$N$10</c:f>
              <c:numCache>
                <c:formatCode>#.#00</c:formatCode>
                <c:ptCount val="4"/>
                <c:pt idx="0">
                  <c:v>58.748862947240752</c:v>
                </c:pt>
                <c:pt idx="1">
                  <c:v>56.54279996361312</c:v>
                </c:pt>
                <c:pt idx="2">
                  <c:v>98.476323119777163</c:v>
                </c:pt>
                <c:pt idx="3">
                  <c:v>64.787709497206706</c:v>
                </c:pt>
              </c:numCache>
            </c:numRef>
          </c:val>
        </c:ser>
        <c:gapWidth val="99"/>
        <c:overlap val="-1"/>
        <c:axId val="56617216"/>
        <c:axId val="56639488"/>
      </c:barChart>
      <c:catAx>
        <c:axId val="56617216"/>
        <c:scaling>
          <c:orientation val="minMax"/>
        </c:scaling>
        <c:axPos val="b"/>
        <c:numFmt formatCode="General" sourceLinked="1"/>
        <c:majorTickMark val="none"/>
        <c:tickLblPos val="nextTo"/>
        <c:txPr>
          <a:bodyPr/>
          <a:lstStyle/>
          <a:p>
            <a:pPr>
              <a:defRPr b="1">
                <a:latin typeface="Times New Roman" panose="02020603050405020304" pitchFamily="18" charset="0"/>
                <a:cs typeface="Times New Roman" panose="02020603050405020304" pitchFamily="18" charset="0"/>
              </a:defRPr>
            </a:pPr>
            <a:endParaRPr lang="en-US"/>
          </a:p>
        </c:txPr>
        <c:crossAx val="56639488"/>
        <c:crosses val="autoZero"/>
        <c:auto val="1"/>
        <c:lblAlgn val="ctr"/>
        <c:lblOffset val="100"/>
      </c:catAx>
      <c:valAx>
        <c:axId val="56639488"/>
        <c:scaling>
          <c:orientation val="minMax"/>
        </c:scaling>
        <c:delete val="1"/>
        <c:axPos val="l"/>
        <c:numFmt formatCode="0" sourceLinked="0"/>
        <c:majorTickMark val="none"/>
        <c:tickLblPos val="nextTo"/>
        <c:crossAx val="56617216"/>
        <c:crosses val="autoZero"/>
        <c:crossBetween val="between"/>
        <c:majorUnit val="20"/>
      </c:valAx>
    </c:plotArea>
    <c:legend>
      <c:legendPos val="b"/>
      <c:layout>
        <c:manualLayout>
          <c:xMode val="edge"/>
          <c:yMode val="edge"/>
          <c:x val="0"/>
          <c:y val="0.879517410323711"/>
          <c:w val="1"/>
          <c:h val="0.10270491184597853"/>
        </c:manualLayout>
      </c:layout>
      <c:txPr>
        <a:bodyPr/>
        <a:lstStyle/>
        <a:p>
          <a:pPr>
            <a:defRPr b="1">
              <a:latin typeface="Times New Roman" panose="02020603050405020304" pitchFamily="18" charset="0"/>
              <a:cs typeface="Times New Roman" panose="02020603050405020304" pitchFamily="18"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4.6413502109704664E-2"/>
          <c:y val="0"/>
          <c:w val="0.91139240506329111"/>
          <c:h val="0.73802417554948674"/>
        </c:manualLayout>
      </c:layout>
      <c:barChart>
        <c:barDir val="col"/>
        <c:grouping val="clustered"/>
        <c:ser>
          <c:idx val="0"/>
          <c:order val="0"/>
          <c:tx>
            <c:strRef>
              <c:f>'Đồ thị'!$M$12</c:f>
              <c:strCache>
                <c:ptCount val="1"/>
                <c:pt idx="0">
                  <c:v>% tăng giảm cùng kỳ 2017</c:v>
                </c:pt>
              </c:strCache>
            </c:strRef>
          </c:tx>
          <c:spPr>
            <a:solidFill>
              <a:schemeClr val="accent3">
                <a:lumMod val="60000"/>
                <a:lumOff val="40000"/>
              </a:schemeClr>
            </a:solidFill>
            <a:ln>
              <a:solidFill>
                <a:schemeClr val="tx1">
                  <a:tint val="75000"/>
                  <a:shade val="95000"/>
                  <a:satMod val="105000"/>
                </a:schemeClr>
              </a:solidFill>
            </a:ln>
          </c:spPr>
          <c:dLbls>
            <c:dLbl>
              <c:idx val="0"/>
              <c:layout>
                <c:manualLayout>
                  <c:x val="0"/>
                  <c:y val="-3.6912926427257436E-2"/>
                </c:manualLayout>
              </c:layout>
              <c:showVal val="1"/>
            </c:dLbl>
            <c:dLbl>
              <c:idx val="1"/>
              <c:layout>
                <c:manualLayout>
                  <c:x val="-2.1780065359907055E-3"/>
                  <c:y val="-1.2624494952108631E-3"/>
                </c:manualLayout>
              </c:layout>
              <c:showVal val="1"/>
            </c:dLbl>
            <c:dLbl>
              <c:idx val="2"/>
              <c:layout>
                <c:manualLayout>
                  <c:x val="-2.1780065359906552E-3"/>
                  <c:y val="-2.1449657000507202E-2"/>
                </c:manualLayout>
              </c:layout>
              <c:showVal val="1"/>
            </c:dLbl>
            <c:numFmt formatCode="#,##00" sourceLinked="0"/>
            <c:txPr>
              <a:bodyPr/>
              <a:lstStyle/>
              <a:p>
                <a:pPr>
                  <a:defRPr b="1">
                    <a:latin typeface="Times New Roman" panose="02020603050405020304" pitchFamily="18" charset="0"/>
                    <a:cs typeface="Times New Roman" panose="02020603050405020304" pitchFamily="18" charset="0"/>
                  </a:defRPr>
                </a:pPr>
                <a:endParaRPr lang="en-US"/>
              </a:p>
            </c:txPr>
            <c:showVal val="1"/>
          </c:dLbls>
          <c:cat>
            <c:strRef>
              <c:f>'Đồ thị'!$L$13:$L$16</c:f>
              <c:strCache>
                <c:ptCount val="4"/>
                <c:pt idx="0">
                  <c:v>Tổng chi NSNN</c:v>
                </c:pt>
                <c:pt idx="1">
                  <c:v>Chi Đầu tư phát triển</c:v>
                </c:pt>
                <c:pt idx="2">
                  <c:v>Chi Thường xuyên</c:v>
                </c:pt>
                <c:pt idx="3">
                  <c:v>Chi trả nợ lãi</c:v>
                </c:pt>
              </c:strCache>
            </c:strRef>
          </c:cat>
          <c:val>
            <c:numRef>
              <c:f>'Đồ thị'!$M$13:$M$16</c:f>
              <c:numCache>
                <c:formatCode>#.#00</c:formatCode>
                <c:ptCount val="4"/>
                <c:pt idx="0">
                  <c:v>9.8000000000000007</c:v>
                </c:pt>
                <c:pt idx="1">
                  <c:v>26.042993096977412</c:v>
                </c:pt>
                <c:pt idx="2">
                  <c:v>5.0999999999999996</c:v>
                </c:pt>
                <c:pt idx="3">
                  <c:v>10.4</c:v>
                </c:pt>
              </c:numCache>
            </c:numRef>
          </c:val>
        </c:ser>
        <c:ser>
          <c:idx val="1"/>
          <c:order val="1"/>
          <c:tx>
            <c:strRef>
              <c:f>'Đồ thị'!$N$12</c:f>
              <c:strCache>
                <c:ptCount val="1"/>
                <c:pt idx="0">
                  <c:v>% thực hiện dự toán</c:v>
                </c:pt>
              </c:strCache>
            </c:strRef>
          </c:tx>
          <c:spPr>
            <a:solidFill>
              <a:schemeClr val="accent3">
                <a:lumMod val="20000"/>
                <a:lumOff val="80000"/>
              </a:schemeClr>
            </a:solidFill>
            <a:ln>
              <a:solidFill>
                <a:schemeClr val="tx1">
                  <a:tint val="75000"/>
                  <a:shade val="95000"/>
                  <a:satMod val="105000"/>
                </a:schemeClr>
              </a:solidFill>
            </a:ln>
          </c:spPr>
          <c:dLbls>
            <c:numFmt formatCode="#,##00" sourceLinked="0"/>
            <c:txPr>
              <a:bodyPr/>
              <a:lstStyle/>
              <a:p>
                <a:pPr>
                  <a:defRPr b="1">
                    <a:latin typeface="Times New Roman" panose="02020603050405020304" pitchFamily="18" charset="0"/>
                    <a:cs typeface="Times New Roman" panose="02020603050405020304" pitchFamily="18" charset="0"/>
                  </a:defRPr>
                </a:pPr>
                <a:endParaRPr lang="en-US"/>
              </a:p>
            </c:txPr>
            <c:showVal val="1"/>
          </c:dLbls>
          <c:cat>
            <c:strRef>
              <c:f>'Đồ thị'!$L$13:$L$16</c:f>
              <c:strCache>
                <c:ptCount val="4"/>
                <c:pt idx="0">
                  <c:v>Tổng chi NSNN</c:v>
                </c:pt>
                <c:pt idx="1">
                  <c:v>Chi Đầu tư phát triển</c:v>
                </c:pt>
                <c:pt idx="2">
                  <c:v>Chi Thường xuyên</c:v>
                </c:pt>
                <c:pt idx="3">
                  <c:v>Chi trả nợ lãi</c:v>
                </c:pt>
              </c:strCache>
            </c:strRef>
          </c:cat>
          <c:val>
            <c:numRef>
              <c:f>'Đồ thị'!$N$13:$N$16</c:f>
              <c:numCache>
                <c:formatCode>#.#00</c:formatCode>
                <c:ptCount val="4"/>
                <c:pt idx="0">
                  <c:v>49.876903886554622</c:v>
                </c:pt>
                <c:pt idx="1">
                  <c:v>37.641981486114439</c:v>
                </c:pt>
                <c:pt idx="2">
                  <c:v>56.771101293864035</c:v>
                </c:pt>
                <c:pt idx="3">
                  <c:v>61.145772231998521</c:v>
                </c:pt>
              </c:numCache>
            </c:numRef>
          </c:val>
        </c:ser>
        <c:gapWidth val="99"/>
        <c:overlap val="-1"/>
        <c:axId val="56660736"/>
        <c:axId val="56662272"/>
      </c:barChart>
      <c:catAx>
        <c:axId val="56660736"/>
        <c:scaling>
          <c:orientation val="minMax"/>
        </c:scaling>
        <c:axPos val="b"/>
        <c:numFmt formatCode="#,##0" sourceLinked="1"/>
        <c:majorTickMark val="none"/>
        <c:tickLblPos val="nextTo"/>
        <c:txPr>
          <a:bodyPr/>
          <a:lstStyle/>
          <a:p>
            <a:pPr>
              <a:defRPr b="1">
                <a:latin typeface="Times New Roman" panose="02020603050405020304" pitchFamily="18" charset="0"/>
                <a:cs typeface="Times New Roman" panose="02020603050405020304" pitchFamily="18" charset="0"/>
              </a:defRPr>
            </a:pPr>
            <a:endParaRPr lang="en-US"/>
          </a:p>
        </c:txPr>
        <c:crossAx val="56662272"/>
        <c:crosses val="autoZero"/>
        <c:auto val="1"/>
        <c:lblAlgn val="ctr"/>
        <c:lblOffset val="100"/>
      </c:catAx>
      <c:valAx>
        <c:axId val="56662272"/>
        <c:scaling>
          <c:orientation val="minMax"/>
        </c:scaling>
        <c:delete val="1"/>
        <c:axPos val="l"/>
        <c:numFmt formatCode="0" sourceLinked="0"/>
        <c:majorTickMark val="none"/>
        <c:tickLblPos val="nextTo"/>
        <c:crossAx val="56660736"/>
        <c:crosses val="autoZero"/>
        <c:crossBetween val="between"/>
        <c:majorUnit val="20"/>
      </c:valAx>
    </c:plotArea>
    <c:legend>
      <c:legendPos val="b"/>
      <c:layout>
        <c:manualLayout>
          <c:xMode val="edge"/>
          <c:yMode val="edge"/>
          <c:x val="3.85049337187282E-2"/>
          <c:y val="0.89708893531165657"/>
          <c:w val="0.96149506628127313"/>
          <c:h val="0.10291115208692579"/>
        </c:manualLayout>
      </c:layout>
      <c:txPr>
        <a:bodyPr/>
        <a:lstStyle/>
        <a:p>
          <a:pPr>
            <a:defRPr b="1">
              <a:latin typeface="Times New Roman" panose="02020603050405020304" pitchFamily="18" charset="0"/>
              <a:cs typeface="Times New Roman" panose="02020603050405020304" pitchFamily="18"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spPr>
            <a:ln w="25400">
              <a:solidFill>
                <a:schemeClr val="tx1"/>
              </a:solidFill>
            </a:ln>
          </c:spPr>
          <c:marker>
            <c:symbol val="none"/>
          </c:marker>
          <c:cat>
            <c:numRef>
              <c:f>Sheet1!$A$2:$A$20</c:f>
              <c:numCache>
                <c:formatCode>mm/yy</c:formatCode>
                <c:ptCount val="19"/>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numCache>
            </c:numRef>
          </c:cat>
          <c:val>
            <c:numRef>
              <c:f>Sheet1!$B$2:$B$20</c:f>
              <c:numCache>
                <c:formatCode>#.#00</c:formatCode>
                <c:ptCount val="19"/>
                <c:pt idx="0">
                  <c:v>60.616314199395802</c:v>
                </c:pt>
                <c:pt idx="1">
                  <c:v>81.728813559322006</c:v>
                </c:pt>
                <c:pt idx="2">
                  <c:v>83.700141442715704</c:v>
                </c:pt>
                <c:pt idx="3">
                  <c:v>89.104795737122558</c:v>
                </c:pt>
                <c:pt idx="4">
                  <c:v>75.227586206896518</c:v>
                </c:pt>
                <c:pt idx="5">
                  <c:v>97.543589743589749</c:v>
                </c:pt>
                <c:pt idx="6">
                  <c:v>92.5</c:v>
                </c:pt>
                <c:pt idx="7">
                  <c:v>24.453846153846154</c:v>
                </c:pt>
                <c:pt idx="8">
                  <c:v>47.511627906976742</c:v>
                </c:pt>
                <c:pt idx="9">
                  <c:v>60.564516129032256</c:v>
                </c:pt>
                <c:pt idx="10">
                  <c:v>45.541844959697244</c:v>
                </c:pt>
                <c:pt idx="11">
                  <c:v>97.531473710195016</c:v>
                </c:pt>
                <c:pt idx="12">
                  <c:v>97.958579881656789</c:v>
                </c:pt>
                <c:pt idx="13">
                  <c:v>55.375</c:v>
                </c:pt>
                <c:pt idx="14">
                  <c:v>66.234234234234236</c:v>
                </c:pt>
                <c:pt idx="15">
                  <c:v>39.318181818181863</c:v>
                </c:pt>
                <c:pt idx="16">
                  <c:v>36.58919803600655</c:v>
                </c:pt>
                <c:pt idx="17">
                  <c:v>60.070921985815595</c:v>
                </c:pt>
                <c:pt idx="18">
                  <c:v>49.343999999999994</c:v>
                </c:pt>
              </c:numCache>
            </c:numRef>
          </c:val>
          <c:smooth val="1"/>
        </c:ser>
        <c:marker val="1"/>
        <c:axId val="56686080"/>
        <c:axId val="56687616"/>
      </c:lineChart>
      <c:dateAx>
        <c:axId val="56686080"/>
        <c:scaling>
          <c:orientation val="minMax"/>
        </c:scaling>
        <c:axPos val="b"/>
        <c:numFmt formatCode="mm/yy" sourceLinked="1"/>
        <c:tickLblPos val="nextTo"/>
        <c:crossAx val="56687616"/>
        <c:crosses val="autoZero"/>
        <c:auto val="1"/>
        <c:lblOffset val="100"/>
        <c:majorUnit val="2"/>
        <c:majorTimeUnit val="months"/>
        <c:minorUnit val="1"/>
        <c:minorTimeUnit val="months"/>
      </c:dateAx>
      <c:valAx>
        <c:axId val="56687616"/>
        <c:scaling>
          <c:orientation val="minMax"/>
        </c:scaling>
        <c:axPos val="l"/>
        <c:numFmt formatCode="0" sourceLinked="0"/>
        <c:tickLblPos val="nextTo"/>
        <c:crossAx val="56686080"/>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7F24-6EA5-4282-A323-7FC74945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2018-09-18T08:22:00Z</cp:lastPrinted>
  <dcterms:created xsi:type="dcterms:W3CDTF">2018-09-18T09:31:00Z</dcterms:created>
  <dcterms:modified xsi:type="dcterms:W3CDTF">2018-09-18T09:31:00Z</dcterms:modified>
</cp:coreProperties>
</file>