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F" w:rsidRPr="00AD4B53" w:rsidRDefault="0090778F" w:rsidP="0037751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</w:rPr>
        <w:t>HPD: Annual General Mandate</w:t>
      </w:r>
    </w:p>
    <w:p w:rsidR="00713E65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>On 15</w:t>
      </w:r>
      <w:r w:rsidRPr="00AD4B53">
        <w:rPr>
          <w:rFonts w:ascii="Arial" w:hAnsi="Arial" w:cs="Arial"/>
          <w:sz w:val="20"/>
          <w:szCs w:val="20"/>
          <w:vertAlign w:val="superscript"/>
        </w:rPr>
        <w:t>th</w:t>
      </w:r>
      <w:r w:rsidRPr="00AD4B53">
        <w:rPr>
          <w:rFonts w:ascii="Arial" w:hAnsi="Arial" w:cs="Arial"/>
          <w:sz w:val="20"/>
          <w:szCs w:val="20"/>
        </w:rPr>
        <w:t xml:space="preserve"> April, 2017, </w:t>
      </w:r>
      <w:r w:rsidR="00411C15" w:rsidRPr="00AD4B53">
        <w:rPr>
          <w:rFonts w:ascii="Arial" w:hAnsi="Arial" w:cs="Arial"/>
          <w:sz w:val="20"/>
          <w:szCs w:val="20"/>
        </w:rPr>
        <w:t xml:space="preserve">Dak Doa Hydropower Joint Stock Company </w:t>
      </w:r>
      <w:r w:rsidRPr="00AD4B53">
        <w:rPr>
          <w:rFonts w:ascii="Arial" w:hAnsi="Arial" w:cs="Arial"/>
          <w:sz w:val="20"/>
          <w:szCs w:val="20"/>
        </w:rPr>
        <w:t>announced</w:t>
      </w:r>
      <w:r w:rsidR="00AD4B53">
        <w:rPr>
          <w:rFonts w:ascii="Arial" w:hAnsi="Arial" w:cs="Arial"/>
          <w:sz w:val="20"/>
          <w:szCs w:val="20"/>
        </w:rPr>
        <w:t xml:space="preserve"> the </w:t>
      </w:r>
      <w:r w:rsidR="00AD4B53" w:rsidRPr="00AD4B53">
        <w:rPr>
          <w:rFonts w:ascii="Arial" w:hAnsi="Arial" w:cs="Arial"/>
          <w:sz w:val="20"/>
          <w:szCs w:val="20"/>
        </w:rPr>
        <w:t>Annual General Mandate</w:t>
      </w:r>
      <w:r w:rsidR="00AD4B53">
        <w:rPr>
          <w:rFonts w:ascii="Arial" w:hAnsi="Arial" w:cs="Arial"/>
          <w:sz w:val="20"/>
          <w:szCs w:val="20"/>
        </w:rPr>
        <w:t xml:space="preserve"> as follows:</w:t>
      </w:r>
      <w:bookmarkStart w:id="0" w:name="_GoBack"/>
      <w:bookmarkEnd w:id="0"/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t>Article 1.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411C15" w:rsidRPr="00AD4B53">
        <w:rPr>
          <w:rFonts w:ascii="Arial" w:hAnsi="Arial" w:cs="Arial"/>
          <w:sz w:val="20"/>
          <w:szCs w:val="20"/>
        </w:rPr>
        <w:t>To approve</w:t>
      </w:r>
      <w:r w:rsidRPr="00AD4B53">
        <w:rPr>
          <w:rFonts w:ascii="Arial" w:hAnsi="Arial" w:cs="Arial"/>
          <w:sz w:val="20"/>
          <w:szCs w:val="20"/>
        </w:rPr>
        <w:t xml:space="preserve"> the report of the Board of Directors in 2017 and the second term (2012 </w:t>
      </w:r>
      <w:r w:rsidR="0096168C" w:rsidRPr="00AD4B53">
        <w:rPr>
          <w:rFonts w:ascii="Arial" w:hAnsi="Arial" w:cs="Arial"/>
          <w:sz w:val="20"/>
          <w:szCs w:val="20"/>
        </w:rPr>
        <w:sym w:font="Symbol" w:char="F0B8"/>
      </w:r>
      <w:r w:rsidRPr="00AD4B53">
        <w:rPr>
          <w:rFonts w:ascii="Arial" w:hAnsi="Arial" w:cs="Arial"/>
          <w:sz w:val="20"/>
          <w:szCs w:val="20"/>
        </w:rPr>
        <w:t xml:space="preserve"> 2017); </w:t>
      </w:r>
      <w:r w:rsidR="0096168C" w:rsidRPr="00AD4B53">
        <w:rPr>
          <w:rFonts w:ascii="Arial" w:hAnsi="Arial" w:cs="Arial"/>
          <w:sz w:val="20"/>
          <w:szCs w:val="20"/>
        </w:rPr>
        <w:t>d</w:t>
      </w:r>
      <w:r w:rsidRPr="00AD4B53">
        <w:rPr>
          <w:rFonts w:ascii="Arial" w:hAnsi="Arial" w:cs="Arial"/>
          <w:sz w:val="20"/>
          <w:szCs w:val="20"/>
        </w:rPr>
        <w:t>irection</w:t>
      </w:r>
      <w:r w:rsidR="0096168C" w:rsidRPr="00AD4B53">
        <w:rPr>
          <w:rFonts w:ascii="Arial" w:hAnsi="Arial" w:cs="Arial"/>
          <w:sz w:val="20"/>
          <w:szCs w:val="20"/>
        </w:rPr>
        <w:t xml:space="preserve"> and</w:t>
      </w:r>
      <w:r w:rsidRPr="00AD4B53">
        <w:rPr>
          <w:rFonts w:ascii="Arial" w:hAnsi="Arial" w:cs="Arial"/>
          <w:sz w:val="20"/>
          <w:szCs w:val="20"/>
        </w:rPr>
        <w:t xml:space="preserve"> duties of the Board of Directors </w:t>
      </w:r>
      <w:r w:rsidR="0096168C" w:rsidRPr="00AD4B53">
        <w:rPr>
          <w:rFonts w:ascii="Arial" w:hAnsi="Arial" w:cs="Arial"/>
          <w:sz w:val="20"/>
          <w:szCs w:val="20"/>
        </w:rPr>
        <w:t xml:space="preserve">in the third </w:t>
      </w:r>
      <w:r w:rsidRPr="00AD4B53">
        <w:rPr>
          <w:rFonts w:ascii="Arial" w:hAnsi="Arial" w:cs="Arial"/>
          <w:sz w:val="20"/>
          <w:szCs w:val="20"/>
        </w:rPr>
        <w:t xml:space="preserve">term (2017 </w:t>
      </w:r>
      <w:r w:rsidR="0096168C" w:rsidRPr="00AD4B53">
        <w:rPr>
          <w:rFonts w:ascii="Arial" w:hAnsi="Arial" w:cs="Arial"/>
          <w:sz w:val="20"/>
          <w:szCs w:val="20"/>
        </w:rPr>
        <w:sym w:font="Symbol" w:char="F0B8"/>
      </w:r>
      <w:r w:rsidRPr="00AD4B53">
        <w:rPr>
          <w:rFonts w:ascii="Arial" w:hAnsi="Arial" w:cs="Arial"/>
          <w:sz w:val="20"/>
          <w:szCs w:val="20"/>
        </w:rPr>
        <w:t xml:space="preserve"> 2022) and the plan of operation in 2017.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Some key </w:t>
      </w:r>
      <w:r w:rsidR="0096168C" w:rsidRPr="00AD4B53">
        <w:rPr>
          <w:rFonts w:ascii="Arial" w:hAnsi="Arial" w:cs="Arial"/>
          <w:sz w:val="20"/>
          <w:szCs w:val="20"/>
        </w:rPr>
        <w:t>targets in</w:t>
      </w:r>
      <w:r w:rsidRPr="00AD4B53">
        <w:rPr>
          <w:rFonts w:ascii="Arial" w:hAnsi="Arial" w:cs="Arial"/>
          <w:sz w:val="20"/>
          <w:szCs w:val="20"/>
        </w:rPr>
        <w:t xml:space="preserve"> 2017</w:t>
      </w:r>
      <w:r w:rsidR="0096168C" w:rsidRPr="00AD4B53">
        <w:rPr>
          <w:rFonts w:ascii="Arial" w:hAnsi="Arial" w:cs="Arial"/>
          <w:sz w:val="20"/>
          <w:szCs w:val="20"/>
        </w:rPr>
        <w:t xml:space="preserve"> </w:t>
      </w:r>
      <w:r w:rsidR="0096168C" w:rsidRPr="00AD4B53">
        <w:rPr>
          <w:rFonts w:ascii="Arial" w:hAnsi="Arial" w:cs="Arial"/>
          <w:sz w:val="20"/>
          <w:szCs w:val="20"/>
        </w:rPr>
        <w:sym w:font="Symbol" w:char="F0B8"/>
      </w:r>
      <w:r w:rsidR="0096168C" w:rsidRPr="00AD4B53">
        <w:rPr>
          <w:rFonts w:ascii="Arial" w:hAnsi="Arial" w:cs="Arial"/>
          <w:sz w:val="20"/>
          <w:szCs w:val="20"/>
        </w:rPr>
        <w:t xml:space="preserve"> </w:t>
      </w:r>
      <w:r w:rsidRPr="00AD4B53">
        <w:rPr>
          <w:rFonts w:ascii="Arial" w:hAnsi="Arial" w:cs="Arial"/>
          <w:sz w:val="20"/>
          <w:szCs w:val="20"/>
        </w:rPr>
        <w:t>2022: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Total </w:t>
      </w:r>
      <w:r w:rsidR="00DC6A78" w:rsidRPr="00AD4B53">
        <w:rPr>
          <w:rFonts w:ascii="Arial" w:hAnsi="Arial" w:cs="Arial"/>
          <w:sz w:val="20"/>
          <w:szCs w:val="20"/>
        </w:rPr>
        <w:t>electricity</w:t>
      </w:r>
      <w:r w:rsidR="0096168C" w:rsidRPr="00AD4B53">
        <w:rPr>
          <w:rFonts w:ascii="Arial" w:hAnsi="Arial" w:cs="Arial"/>
          <w:sz w:val="20"/>
          <w:szCs w:val="20"/>
        </w:rPr>
        <w:t xml:space="preserve"> production</w:t>
      </w:r>
      <w:r w:rsidRPr="00AD4B53">
        <w:rPr>
          <w:rFonts w:ascii="Arial" w:hAnsi="Arial" w:cs="Arial"/>
          <w:sz w:val="20"/>
          <w:szCs w:val="20"/>
        </w:rPr>
        <w:t>: 230 million KWh.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>- Total value of production</w:t>
      </w:r>
      <w:r w:rsidR="0096168C" w:rsidRPr="00AD4B53">
        <w:rPr>
          <w:rFonts w:ascii="Arial" w:hAnsi="Arial" w:cs="Arial"/>
          <w:sz w:val="20"/>
          <w:szCs w:val="20"/>
        </w:rPr>
        <w:t xml:space="preserve"> and business</w:t>
      </w:r>
      <w:r w:rsidRPr="00AD4B53">
        <w:rPr>
          <w:rFonts w:ascii="Arial" w:hAnsi="Arial" w:cs="Arial"/>
          <w:sz w:val="20"/>
          <w:szCs w:val="20"/>
        </w:rPr>
        <w:t xml:space="preserve">: </w:t>
      </w:r>
      <w:r w:rsidR="0096168C" w:rsidRPr="00AD4B53">
        <w:rPr>
          <w:rFonts w:ascii="Arial" w:hAnsi="Arial" w:cs="Arial"/>
          <w:sz w:val="20"/>
          <w:szCs w:val="20"/>
        </w:rPr>
        <w:t xml:space="preserve">VND </w:t>
      </w:r>
      <w:r w:rsidRPr="00AD4B53">
        <w:rPr>
          <w:rFonts w:ascii="Arial" w:hAnsi="Arial" w:cs="Arial"/>
          <w:sz w:val="20"/>
          <w:szCs w:val="20"/>
        </w:rPr>
        <w:t>300 billion.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Total revenue: </w:t>
      </w:r>
      <w:r w:rsidR="0096168C" w:rsidRPr="00AD4B53">
        <w:rPr>
          <w:rFonts w:ascii="Arial" w:hAnsi="Arial" w:cs="Arial"/>
          <w:sz w:val="20"/>
          <w:szCs w:val="20"/>
        </w:rPr>
        <w:t xml:space="preserve">VND </w:t>
      </w:r>
      <w:r w:rsidRPr="00AD4B53">
        <w:rPr>
          <w:rFonts w:ascii="Arial" w:hAnsi="Arial" w:cs="Arial"/>
          <w:sz w:val="20"/>
          <w:szCs w:val="20"/>
        </w:rPr>
        <w:t>280 billion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>- Profit before tax: VND 80 billion,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</w:t>
      </w:r>
      <w:r w:rsidR="0096168C" w:rsidRPr="00AD4B53">
        <w:rPr>
          <w:rFonts w:ascii="Arial" w:hAnsi="Arial" w:cs="Arial"/>
          <w:sz w:val="20"/>
          <w:szCs w:val="20"/>
        </w:rPr>
        <w:t>Owner’s e</w:t>
      </w:r>
      <w:r w:rsidRPr="00AD4B53">
        <w:rPr>
          <w:rFonts w:ascii="Arial" w:hAnsi="Arial" w:cs="Arial"/>
          <w:sz w:val="20"/>
          <w:szCs w:val="20"/>
        </w:rPr>
        <w:t xml:space="preserve">quity </w:t>
      </w:r>
      <w:r w:rsidR="0096168C" w:rsidRPr="00AD4B53">
        <w:rPr>
          <w:rFonts w:ascii="Arial" w:hAnsi="Arial" w:cs="Arial"/>
          <w:sz w:val="20"/>
          <w:szCs w:val="20"/>
        </w:rPr>
        <w:t>as of</w:t>
      </w:r>
      <w:r w:rsidRPr="00AD4B53">
        <w:rPr>
          <w:rFonts w:ascii="Arial" w:hAnsi="Arial" w:cs="Arial"/>
          <w:sz w:val="20"/>
          <w:szCs w:val="20"/>
        </w:rPr>
        <w:t xml:space="preserve"> 31/12/2021: </w:t>
      </w:r>
      <w:r w:rsidR="0096168C" w:rsidRPr="00AD4B53">
        <w:rPr>
          <w:rFonts w:ascii="Arial" w:hAnsi="Arial" w:cs="Arial"/>
          <w:sz w:val="20"/>
          <w:szCs w:val="20"/>
        </w:rPr>
        <w:t>VND 140 billion</w:t>
      </w:r>
      <w:r w:rsidRPr="00AD4B53">
        <w:rPr>
          <w:rFonts w:ascii="Arial" w:hAnsi="Arial" w:cs="Arial"/>
          <w:sz w:val="20"/>
          <w:szCs w:val="20"/>
        </w:rPr>
        <w:t>.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Total assets </w:t>
      </w:r>
      <w:r w:rsidR="0096168C" w:rsidRPr="00AD4B53">
        <w:rPr>
          <w:rFonts w:ascii="Arial" w:hAnsi="Arial" w:cs="Arial"/>
          <w:sz w:val="20"/>
          <w:szCs w:val="20"/>
        </w:rPr>
        <w:t>as of</w:t>
      </w:r>
      <w:r w:rsidRPr="00AD4B53">
        <w:rPr>
          <w:rFonts w:ascii="Arial" w:hAnsi="Arial" w:cs="Arial"/>
          <w:sz w:val="20"/>
          <w:szCs w:val="20"/>
        </w:rPr>
        <w:t xml:space="preserve"> 31/12/2021: </w:t>
      </w:r>
      <w:r w:rsidR="0096168C" w:rsidRPr="00AD4B53">
        <w:rPr>
          <w:rFonts w:ascii="Arial" w:hAnsi="Arial" w:cs="Arial"/>
          <w:sz w:val="20"/>
          <w:szCs w:val="20"/>
        </w:rPr>
        <w:t xml:space="preserve">VND </w:t>
      </w:r>
      <w:r w:rsidRPr="00AD4B53">
        <w:rPr>
          <w:rFonts w:ascii="Arial" w:hAnsi="Arial" w:cs="Arial"/>
          <w:sz w:val="20"/>
          <w:szCs w:val="20"/>
        </w:rPr>
        <w:t>350 billion.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Outstanding long-term loans </w:t>
      </w:r>
      <w:r w:rsidR="0096168C" w:rsidRPr="00AD4B53">
        <w:rPr>
          <w:rFonts w:ascii="Arial" w:hAnsi="Arial" w:cs="Arial"/>
          <w:sz w:val="20"/>
          <w:szCs w:val="20"/>
        </w:rPr>
        <w:t>as of</w:t>
      </w:r>
      <w:r w:rsidRPr="00AD4B53">
        <w:rPr>
          <w:rFonts w:ascii="Arial" w:hAnsi="Arial" w:cs="Arial"/>
          <w:sz w:val="20"/>
          <w:szCs w:val="20"/>
        </w:rPr>
        <w:t xml:space="preserve"> 31/12/2021: </w:t>
      </w:r>
      <w:r w:rsidR="0096168C" w:rsidRPr="00AD4B53">
        <w:rPr>
          <w:rFonts w:ascii="Arial" w:hAnsi="Arial" w:cs="Arial"/>
          <w:sz w:val="20"/>
          <w:szCs w:val="20"/>
        </w:rPr>
        <w:t xml:space="preserve">VND </w:t>
      </w:r>
      <w:r w:rsidRPr="00AD4B53">
        <w:rPr>
          <w:rFonts w:ascii="Arial" w:hAnsi="Arial" w:cs="Arial"/>
          <w:sz w:val="20"/>
          <w:szCs w:val="20"/>
        </w:rPr>
        <w:t>200 billion.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Average income </w:t>
      </w:r>
      <w:r w:rsidR="0096168C" w:rsidRPr="00AD4B53">
        <w:rPr>
          <w:rFonts w:ascii="Arial" w:hAnsi="Arial" w:cs="Arial"/>
          <w:sz w:val="20"/>
          <w:szCs w:val="20"/>
        </w:rPr>
        <w:t xml:space="preserve">of employees </w:t>
      </w:r>
      <w:r w:rsidRPr="00AD4B53">
        <w:rPr>
          <w:rFonts w:ascii="Arial" w:hAnsi="Arial" w:cs="Arial"/>
          <w:sz w:val="20"/>
          <w:szCs w:val="20"/>
        </w:rPr>
        <w:t xml:space="preserve">per month: </w:t>
      </w:r>
      <w:r w:rsidR="0096168C" w:rsidRPr="00AD4B53">
        <w:rPr>
          <w:rFonts w:ascii="Arial" w:hAnsi="Arial" w:cs="Arial"/>
          <w:sz w:val="20"/>
          <w:szCs w:val="20"/>
        </w:rPr>
        <w:t xml:space="preserve">VND </w:t>
      </w:r>
      <w:r w:rsidRPr="00AD4B53">
        <w:rPr>
          <w:rFonts w:ascii="Arial" w:hAnsi="Arial" w:cs="Arial"/>
          <w:sz w:val="20"/>
          <w:szCs w:val="20"/>
        </w:rPr>
        <w:t>12 million.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>Sustainable maintenance and efficient operation of Dak Do</w:t>
      </w:r>
      <w:r w:rsidR="0096168C" w:rsidRPr="00AD4B53">
        <w:rPr>
          <w:rFonts w:ascii="Arial" w:hAnsi="Arial" w:cs="Arial"/>
          <w:sz w:val="20"/>
          <w:szCs w:val="20"/>
        </w:rPr>
        <w:t>a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96168C" w:rsidRPr="00AD4B53">
        <w:rPr>
          <w:rFonts w:ascii="Arial" w:hAnsi="Arial" w:cs="Arial"/>
          <w:sz w:val="20"/>
          <w:szCs w:val="20"/>
        </w:rPr>
        <w:t>H</w:t>
      </w:r>
      <w:r w:rsidRPr="00AD4B53">
        <w:rPr>
          <w:rFonts w:ascii="Arial" w:hAnsi="Arial" w:cs="Arial"/>
          <w:sz w:val="20"/>
          <w:szCs w:val="20"/>
        </w:rPr>
        <w:t>ydropower plant. Striv</w:t>
      </w:r>
      <w:r w:rsidR="00DC6A78" w:rsidRPr="00AD4B53">
        <w:rPr>
          <w:rFonts w:ascii="Arial" w:hAnsi="Arial" w:cs="Arial"/>
          <w:sz w:val="20"/>
          <w:szCs w:val="20"/>
        </w:rPr>
        <w:t>ing</w:t>
      </w:r>
      <w:r w:rsidRPr="00AD4B53">
        <w:rPr>
          <w:rFonts w:ascii="Arial" w:hAnsi="Arial" w:cs="Arial"/>
          <w:sz w:val="20"/>
          <w:szCs w:val="20"/>
        </w:rPr>
        <w:t xml:space="preserve"> for </w:t>
      </w:r>
      <w:r w:rsidR="00DC6A78" w:rsidRPr="00AD4B53">
        <w:rPr>
          <w:rFonts w:ascii="Arial" w:hAnsi="Arial" w:cs="Arial"/>
          <w:sz w:val="20"/>
          <w:szCs w:val="20"/>
        </w:rPr>
        <w:t>investment in an additional hydro</w:t>
      </w:r>
      <w:r w:rsidRPr="00AD4B53">
        <w:rPr>
          <w:rFonts w:ascii="Arial" w:hAnsi="Arial" w:cs="Arial"/>
          <w:sz w:val="20"/>
          <w:szCs w:val="20"/>
        </w:rPr>
        <w:t>power plant with a capacity of 5</w:t>
      </w:r>
      <w:r w:rsidR="00DC6A78" w:rsidRPr="00AD4B53">
        <w:rPr>
          <w:rFonts w:ascii="Arial" w:hAnsi="Arial" w:cs="Arial"/>
          <w:sz w:val="20"/>
          <w:szCs w:val="20"/>
        </w:rPr>
        <w:sym w:font="Symbol" w:char="F0B8"/>
      </w:r>
      <w:r w:rsidRPr="00AD4B53">
        <w:rPr>
          <w:rFonts w:ascii="Arial" w:hAnsi="Arial" w:cs="Arial"/>
          <w:sz w:val="20"/>
          <w:szCs w:val="20"/>
        </w:rPr>
        <w:t>10MW in the Central Highlands</w:t>
      </w:r>
      <w:r w:rsidR="00DC6A78" w:rsidRPr="00AD4B53">
        <w:rPr>
          <w:rFonts w:ascii="Arial" w:hAnsi="Arial" w:cs="Arial"/>
          <w:sz w:val="20"/>
          <w:szCs w:val="20"/>
        </w:rPr>
        <w:t xml:space="preserve"> for 5 years</w:t>
      </w:r>
      <w:r w:rsidRPr="00AD4B53">
        <w:rPr>
          <w:rFonts w:ascii="Arial" w:hAnsi="Arial" w:cs="Arial"/>
          <w:sz w:val="20"/>
          <w:szCs w:val="20"/>
        </w:rPr>
        <w:t xml:space="preserve">, bringing the total capacity of commercial electricity </w:t>
      </w:r>
      <w:r w:rsidR="00DC6A78" w:rsidRPr="00AD4B53">
        <w:rPr>
          <w:rFonts w:ascii="Arial" w:hAnsi="Arial" w:cs="Arial"/>
          <w:sz w:val="20"/>
          <w:szCs w:val="20"/>
        </w:rPr>
        <w:t xml:space="preserve">up </w:t>
      </w:r>
      <w:r w:rsidRPr="00AD4B53">
        <w:rPr>
          <w:rFonts w:ascii="Arial" w:hAnsi="Arial" w:cs="Arial"/>
          <w:sz w:val="20"/>
          <w:szCs w:val="20"/>
        </w:rPr>
        <w:t xml:space="preserve">to over 70 million KWh per year. Accordingly, the company will become one of the model business enterprises and </w:t>
      </w:r>
      <w:r w:rsidR="00DC6A78" w:rsidRPr="00AD4B53">
        <w:rPr>
          <w:rFonts w:ascii="Arial" w:hAnsi="Arial" w:cs="Arial"/>
          <w:sz w:val="20"/>
          <w:szCs w:val="20"/>
        </w:rPr>
        <w:t xml:space="preserve">effectively </w:t>
      </w:r>
      <w:r w:rsidRPr="00AD4B53">
        <w:rPr>
          <w:rFonts w:ascii="Arial" w:hAnsi="Arial" w:cs="Arial"/>
          <w:sz w:val="20"/>
          <w:szCs w:val="20"/>
        </w:rPr>
        <w:t>operate in Gia Lai province.</w:t>
      </w:r>
    </w:p>
    <w:p w:rsidR="00377517" w:rsidRPr="00AD4B53" w:rsidRDefault="00377517" w:rsidP="00377517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t>Article 2.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DC6A78" w:rsidRPr="00AD4B53">
        <w:rPr>
          <w:rFonts w:ascii="Arial" w:hAnsi="Arial" w:cs="Arial"/>
          <w:sz w:val="20"/>
          <w:szCs w:val="20"/>
        </w:rPr>
        <w:t xml:space="preserve">To approve the </w:t>
      </w:r>
      <w:r w:rsidRPr="00AD4B53">
        <w:rPr>
          <w:rFonts w:ascii="Arial" w:hAnsi="Arial" w:cs="Arial"/>
          <w:sz w:val="20"/>
          <w:szCs w:val="20"/>
        </w:rPr>
        <w:t>production and business results in 2016:</w:t>
      </w:r>
    </w:p>
    <w:tbl>
      <w:tblPr>
        <w:tblStyle w:val="TableGrid"/>
        <w:tblW w:w="977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59"/>
        <w:gridCol w:w="1701"/>
        <w:gridCol w:w="1521"/>
        <w:gridCol w:w="1484"/>
      </w:tblGrid>
      <w:tr w:rsidR="00377517" w:rsidRPr="00AD4B53" w:rsidTr="00DC6A78">
        <w:tc>
          <w:tcPr>
            <w:tcW w:w="67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3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559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(assigned by General Meeting of Shareholders)</w:t>
            </w:r>
          </w:p>
        </w:tc>
        <w:tc>
          <w:tcPr>
            <w:tcW w:w="1521" w:type="dxa"/>
          </w:tcPr>
          <w:p w:rsidR="00377517" w:rsidRPr="00AD4B53" w:rsidRDefault="003B6690" w:rsidP="003775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Performance in 2016</w:t>
            </w:r>
          </w:p>
        </w:tc>
        <w:tc>
          <w:tcPr>
            <w:tcW w:w="1484" w:type="dxa"/>
          </w:tcPr>
          <w:p w:rsidR="00377517" w:rsidRPr="00AD4B53" w:rsidRDefault="003B6690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  <w:r w:rsidR="00DF693A" w:rsidRPr="00AD4B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F693A" w:rsidRPr="00AD4B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="00DF693A" w:rsidRPr="00AD4B53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377517" w:rsidRPr="00AD4B53" w:rsidTr="00DC6A78">
        <w:tc>
          <w:tcPr>
            <w:tcW w:w="67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77517" w:rsidRPr="00AD4B53" w:rsidRDefault="00377517" w:rsidP="00DC6A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Commercial electricity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559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701" w:type="dxa"/>
          </w:tcPr>
          <w:p w:rsidR="00377517" w:rsidRPr="00AD4B53" w:rsidRDefault="00377517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34,104,000</w:t>
            </w:r>
          </w:p>
        </w:tc>
        <w:tc>
          <w:tcPr>
            <w:tcW w:w="1521" w:type="dxa"/>
          </w:tcPr>
          <w:p w:rsidR="00377517" w:rsidRPr="00AD4B53" w:rsidRDefault="003B6690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30,802,239</w:t>
            </w:r>
          </w:p>
        </w:tc>
        <w:tc>
          <w:tcPr>
            <w:tcW w:w="1484" w:type="dxa"/>
          </w:tcPr>
          <w:p w:rsidR="00377517" w:rsidRPr="00AD4B53" w:rsidRDefault="00DF693A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90.3</w:t>
            </w:r>
          </w:p>
        </w:tc>
      </w:tr>
      <w:tr w:rsidR="00377517" w:rsidRPr="00AD4B53" w:rsidTr="00DC6A78">
        <w:tc>
          <w:tcPr>
            <w:tcW w:w="67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77517" w:rsidRPr="00AD4B53" w:rsidRDefault="00377517" w:rsidP="006B77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Total production </w:t>
            </w:r>
            <w:r w:rsidR="006B77CD" w:rsidRPr="00AD4B53">
              <w:rPr>
                <w:rFonts w:ascii="Arial" w:hAnsi="Arial" w:cs="Arial"/>
                <w:sz w:val="20"/>
                <w:szCs w:val="20"/>
              </w:rPr>
              <w:t>and business value</w:t>
            </w:r>
          </w:p>
        </w:tc>
        <w:tc>
          <w:tcPr>
            <w:tcW w:w="1559" w:type="dxa"/>
          </w:tcPr>
          <w:p w:rsidR="00377517" w:rsidRPr="00AD4B53" w:rsidRDefault="00377517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01" w:type="dxa"/>
          </w:tcPr>
          <w:p w:rsidR="00377517" w:rsidRPr="00AD4B53" w:rsidRDefault="00377517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50,060,000</w:t>
            </w:r>
          </w:p>
        </w:tc>
        <w:tc>
          <w:tcPr>
            <w:tcW w:w="1521" w:type="dxa"/>
          </w:tcPr>
          <w:p w:rsidR="00377517" w:rsidRPr="00AD4B53" w:rsidRDefault="003B6690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45,171,295</w:t>
            </w:r>
          </w:p>
        </w:tc>
        <w:tc>
          <w:tcPr>
            <w:tcW w:w="1484" w:type="dxa"/>
          </w:tcPr>
          <w:p w:rsidR="00377517" w:rsidRPr="00AD4B53" w:rsidRDefault="00DF693A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90.2</w:t>
            </w:r>
          </w:p>
        </w:tc>
      </w:tr>
      <w:tr w:rsidR="00377517" w:rsidRPr="00AD4B53" w:rsidTr="00DC6A78">
        <w:tc>
          <w:tcPr>
            <w:tcW w:w="67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77517" w:rsidRPr="00AD4B53" w:rsidRDefault="00377517" w:rsidP="003775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59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01" w:type="dxa"/>
          </w:tcPr>
          <w:p w:rsidR="00377517" w:rsidRPr="00AD4B53" w:rsidRDefault="00377517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45,509,000</w:t>
            </w:r>
          </w:p>
        </w:tc>
        <w:tc>
          <w:tcPr>
            <w:tcW w:w="1521" w:type="dxa"/>
          </w:tcPr>
          <w:p w:rsidR="00377517" w:rsidRPr="00AD4B53" w:rsidRDefault="003B6690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41,268,690</w:t>
            </w:r>
          </w:p>
        </w:tc>
        <w:tc>
          <w:tcPr>
            <w:tcW w:w="1484" w:type="dxa"/>
          </w:tcPr>
          <w:p w:rsidR="00377517" w:rsidRPr="00AD4B53" w:rsidRDefault="00DF693A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90.6</w:t>
            </w:r>
          </w:p>
        </w:tc>
      </w:tr>
      <w:tr w:rsidR="00377517" w:rsidRPr="00AD4B53" w:rsidTr="00DC6A78">
        <w:tc>
          <w:tcPr>
            <w:tcW w:w="67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77517" w:rsidRPr="00AD4B53" w:rsidRDefault="00377517" w:rsidP="003775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559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01" w:type="dxa"/>
          </w:tcPr>
          <w:p w:rsidR="00377517" w:rsidRPr="00AD4B53" w:rsidRDefault="00377517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12,471,000</w:t>
            </w:r>
          </w:p>
        </w:tc>
        <w:tc>
          <w:tcPr>
            <w:tcW w:w="1521" w:type="dxa"/>
          </w:tcPr>
          <w:p w:rsidR="00377517" w:rsidRPr="00AD4B53" w:rsidRDefault="003B6690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8,081,350</w:t>
            </w:r>
          </w:p>
        </w:tc>
        <w:tc>
          <w:tcPr>
            <w:tcW w:w="1484" w:type="dxa"/>
          </w:tcPr>
          <w:p w:rsidR="00377517" w:rsidRPr="00AD4B53" w:rsidRDefault="00DF693A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64.8</w:t>
            </w:r>
          </w:p>
        </w:tc>
      </w:tr>
      <w:tr w:rsidR="00377517" w:rsidRPr="00AD4B53" w:rsidTr="00DC6A78">
        <w:tc>
          <w:tcPr>
            <w:tcW w:w="67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77517" w:rsidRPr="00AD4B53" w:rsidRDefault="006B77CD" w:rsidP="006B77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Proceeds</w:t>
            </w:r>
            <w:r w:rsidR="00377517" w:rsidRPr="00AD4B53">
              <w:rPr>
                <w:rFonts w:ascii="Arial" w:hAnsi="Arial" w:cs="Arial"/>
                <w:sz w:val="20"/>
                <w:szCs w:val="20"/>
              </w:rPr>
              <w:t xml:space="preserve"> into account</w:t>
            </w:r>
          </w:p>
        </w:tc>
        <w:tc>
          <w:tcPr>
            <w:tcW w:w="1559" w:type="dxa"/>
          </w:tcPr>
          <w:p w:rsidR="00377517" w:rsidRPr="00AD4B53" w:rsidRDefault="00377517" w:rsidP="00DC6A7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01" w:type="dxa"/>
          </w:tcPr>
          <w:p w:rsidR="00377517" w:rsidRPr="00AD4B53" w:rsidRDefault="00377517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59,452,000</w:t>
            </w:r>
          </w:p>
        </w:tc>
        <w:tc>
          <w:tcPr>
            <w:tcW w:w="1521" w:type="dxa"/>
          </w:tcPr>
          <w:p w:rsidR="00377517" w:rsidRPr="00AD4B53" w:rsidRDefault="003B6690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51,677,994</w:t>
            </w:r>
          </w:p>
        </w:tc>
        <w:tc>
          <w:tcPr>
            <w:tcW w:w="1484" w:type="dxa"/>
          </w:tcPr>
          <w:p w:rsidR="00377517" w:rsidRPr="00AD4B53" w:rsidRDefault="00DF693A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86.9</w:t>
            </w:r>
          </w:p>
        </w:tc>
      </w:tr>
      <w:tr w:rsidR="00377517" w:rsidRPr="00AD4B53" w:rsidTr="00DC6A78">
        <w:tc>
          <w:tcPr>
            <w:tcW w:w="67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77517" w:rsidRPr="00AD4B53" w:rsidRDefault="006B77CD" w:rsidP="003775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Per capita income</w:t>
            </w:r>
            <w:r w:rsidR="00377517" w:rsidRPr="00AD4B53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</w:tc>
        <w:tc>
          <w:tcPr>
            <w:tcW w:w="1559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01" w:type="dxa"/>
          </w:tcPr>
          <w:p w:rsidR="00377517" w:rsidRPr="00AD4B53" w:rsidRDefault="00377517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9,300</w:t>
            </w:r>
          </w:p>
        </w:tc>
        <w:tc>
          <w:tcPr>
            <w:tcW w:w="1521" w:type="dxa"/>
          </w:tcPr>
          <w:p w:rsidR="00377517" w:rsidRPr="00AD4B53" w:rsidRDefault="003B6690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7,601</w:t>
            </w:r>
          </w:p>
        </w:tc>
        <w:tc>
          <w:tcPr>
            <w:tcW w:w="1484" w:type="dxa"/>
          </w:tcPr>
          <w:p w:rsidR="00377517" w:rsidRPr="00AD4B53" w:rsidRDefault="00DF693A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81.7</w:t>
            </w:r>
          </w:p>
        </w:tc>
      </w:tr>
      <w:tr w:rsidR="00377517" w:rsidRPr="00AD4B53" w:rsidTr="00DC6A78">
        <w:tc>
          <w:tcPr>
            <w:tcW w:w="675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77517" w:rsidRPr="00AD4B53" w:rsidRDefault="006B77CD" w:rsidP="006B77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I</w:t>
            </w:r>
            <w:r w:rsidR="00377517" w:rsidRPr="00AD4B53">
              <w:rPr>
                <w:rFonts w:ascii="Arial" w:hAnsi="Arial" w:cs="Arial"/>
                <w:sz w:val="20"/>
                <w:szCs w:val="20"/>
              </w:rPr>
              <w:t>nvestment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value</w:t>
            </w:r>
          </w:p>
        </w:tc>
        <w:tc>
          <w:tcPr>
            <w:tcW w:w="1559" w:type="dxa"/>
          </w:tcPr>
          <w:p w:rsidR="00377517" w:rsidRPr="00AD4B53" w:rsidRDefault="00377517" w:rsidP="0037751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01" w:type="dxa"/>
          </w:tcPr>
          <w:p w:rsidR="00377517" w:rsidRPr="00AD4B53" w:rsidRDefault="00377517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1,400,000</w:t>
            </w:r>
          </w:p>
        </w:tc>
        <w:tc>
          <w:tcPr>
            <w:tcW w:w="1521" w:type="dxa"/>
          </w:tcPr>
          <w:p w:rsidR="00377517" w:rsidRPr="00AD4B53" w:rsidRDefault="003B6690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1,250,863</w:t>
            </w:r>
          </w:p>
        </w:tc>
        <w:tc>
          <w:tcPr>
            <w:tcW w:w="1484" w:type="dxa"/>
          </w:tcPr>
          <w:p w:rsidR="00377517" w:rsidRPr="00AD4B53" w:rsidRDefault="00DF693A" w:rsidP="0037751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89.3</w:t>
            </w:r>
          </w:p>
        </w:tc>
      </w:tr>
    </w:tbl>
    <w:p w:rsidR="00704BFD" w:rsidRPr="00AD4B53" w:rsidRDefault="00704BFD" w:rsidP="00704BFD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lastRenderedPageBreak/>
        <w:t>Article 3.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6B77CD" w:rsidRPr="00AD4B53">
        <w:rPr>
          <w:rFonts w:ascii="Arial" w:hAnsi="Arial" w:cs="Arial"/>
          <w:sz w:val="20"/>
          <w:szCs w:val="20"/>
        </w:rPr>
        <w:t xml:space="preserve">To approve the </w:t>
      </w:r>
      <w:r w:rsidRPr="00AD4B53">
        <w:rPr>
          <w:rFonts w:ascii="Arial" w:hAnsi="Arial" w:cs="Arial"/>
          <w:sz w:val="20"/>
          <w:szCs w:val="20"/>
        </w:rPr>
        <w:t xml:space="preserve">audited financial statements </w:t>
      </w:r>
      <w:r w:rsidR="006B77CD" w:rsidRPr="00AD4B53">
        <w:rPr>
          <w:rFonts w:ascii="Arial" w:hAnsi="Arial" w:cs="Arial"/>
          <w:sz w:val="20"/>
          <w:szCs w:val="20"/>
        </w:rPr>
        <w:t>in</w:t>
      </w:r>
      <w:r w:rsidRPr="00AD4B53">
        <w:rPr>
          <w:rFonts w:ascii="Arial" w:hAnsi="Arial" w:cs="Arial"/>
          <w:sz w:val="20"/>
          <w:szCs w:val="20"/>
        </w:rPr>
        <w:t xml:space="preserve"> 2016 and selection of auditors for financial statements </w:t>
      </w:r>
      <w:r w:rsidR="006B77CD" w:rsidRPr="00AD4B53">
        <w:rPr>
          <w:rFonts w:ascii="Arial" w:hAnsi="Arial" w:cs="Arial"/>
          <w:sz w:val="20"/>
          <w:szCs w:val="20"/>
        </w:rPr>
        <w:t>in</w:t>
      </w:r>
      <w:r w:rsidRPr="00AD4B53">
        <w:rPr>
          <w:rFonts w:ascii="Arial" w:hAnsi="Arial" w:cs="Arial"/>
          <w:sz w:val="20"/>
          <w:szCs w:val="20"/>
        </w:rPr>
        <w:t xml:space="preserve"> 2017.</w:t>
      </w:r>
    </w:p>
    <w:p w:rsidR="00704BFD" w:rsidRPr="00AD4B53" w:rsidRDefault="00704BFD" w:rsidP="00704BFD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The 2017 Annual General Meeting of Shareholders authorizes the Board of Directors and the </w:t>
      </w:r>
      <w:r w:rsidR="006B77CD" w:rsidRPr="00AD4B53">
        <w:rPr>
          <w:rFonts w:ascii="Arial" w:hAnsi="Arial" w:cs="Arial"/>
          <w:sz w:val="20"/>
          <w:szCs w:val="20"/>
        </w:rPr>
        <w:t xml:space="preserve">Supervisory </w:t>
      </w:r>
      <w:r w:rsidRPr="00AD4B53">
        <w:rPr>
          <w:rFonts w:ascii="Arial" w:hAnsi="Arial" w:cs="Arial"/>
          <w:sz w:val="20"/>
          <w:szCs w:val="20"/>
        </w:rPr>
        <w:t>Board to decide on the selection of eligible independent auditing compan</w:t>
      </w:r>
      <w:r w:rsidR="00680F3D" w:rsidRPr="00AD4B53">
        <w:rPr>
          <w:rFonts w:ascii="Arial" w:hAnsi="Arial" w:cs="Arial"/>
          <w:sz w:val="20"/>
          <w:szCs w:val="20"/>
        </w:rPr>
        <w:t>y</w:t>
      </w:r>
      <w:r w:rsidRPr="00AD4B53">
        <w:rPr>
          <w:rFonts w:ascii="Arial" w:hAnsi="Arial" w:cs="Arial"/>
          <w:sz w:val="20"/>
          <w:szCs w:val="20"/>
        </w:rPr>
        <w:t xml:space="preserve"> as required to audit the financial statements 2017.</w:t>
      </w:r>
    </w:p>
    <w:p w:rsidR="00377517" w:rsidRPr="00AD4B53" w:rsidRDefault="00704BFD" w:rsidP="00704BFD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t>Article 4.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680F3D" w:rsidRPr="00AD4B53">
        <w:rPr>
          <w:rFonts w:ascii="Arial" w:hAnsi="Arial" w:cs="Arial"/>
          <w:sz w:val="20"/>
          <w:szCs w:val="20"/>
        </w:rPr>
        <w:t xml:space="preserve">To approve the </w:t>
      </w:r>
      <w:r w:rsidRPr="00AD4B53">
        <w:rPr>
          <w:rFonts w:ascii="Arial" w:hAnsi="Arial" w:cs="Arial"/>
          <w:sz w:val="20"/>
          <w:szCs w:val="20"/>
        </w:rPr>
        <w:t xml:space="preserve">profit distribution and dividend payment </w:t>
      </w:r>
      <w:r w:rsidR="00680F3D" w:rsidRPr="00AD4B53">
        <w:rPr>
          <w:rFonts w:ascii="Arial" w:hAnsi="Arial" w:cs="Arial"/>
          <w:sz w:val="20"/>
          <w:szCs w:val="20"/>
        </w:rPr>
        <w:t xml:space="preserve">plan </w:t>
      </w:r>
      <w:r w:rsidRPr="00AD4B53">
        <w:rPr>
          <w:rFonts w:ascii="Arial" w:hAnsi="Arial" w:cs="Arial"/>
          <w:sz w:val="20"/>
          <w:szCs w:val="20"/>
        </w:rPr>
        <w:t>in 2016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134"/>
        <w:gridCol w:w="1955"/>
      </w:tblGrid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670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704BFD" w:rsidRPr="00AD4B53" w:rsidRDefault="00704BF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Total accounting profit before </w:t>
            </w:r>
            <w:r w:rsidR="00680F3D" w:rsidRPr="00AD4B53">
              <w:rPr>
                <w:rFonts w:ascii="Arial" w:hAnsi="Arial" w:cs="Arial"/>
                <w:sz w:val="20"/>
                <w:szCs w:val="20"/>
              </w:rPr>
              <w:t>corporate income tax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in 2016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8,081,350,292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704BFD" w:rsidRPr="00AD4B53" w:rsidRDefault="00680F3D" w:rsidP="00704B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Corporate i</w:t>
            </w:r>
            <w:r w:rsidR="00704BFD" w:rsidRPr="00AD4B53">
              <w:rPr>
                <w:rFonts w:ascii="Arial" w:hAnsi="Arial" w:cs="Arial"/>
                <w:sz w:val="20"/>
                <w:szCs w:val="20"/>
              </w:rPr>
              <w:t>ncome tax expense in 2016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769,266,943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704BFD" w:rsidRPr="00AD4B53" w:rsidRDefault="00704BFD" w:rsidP="00704B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Profit after </w:t>
            </w:r>
            <w:r w:rsidR="00680F3D" w:rsidRPr="00AD4B53"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  <w:r w:rsidRPr="00AD4B53">
              <w:rPr>
                <w:rFonts w:ascii="Arial" w:hAnsi="Arial" w:cs="Arial"/>
                <w:sz w:val="20"/>
                <w:szCs w:val="20"/>
              </w:rPr>
              <w:t>in 2016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7,312,083,349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704BFD" w:rsidRPr="00AD4B53" w:rsidRDefault="00680F3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Undistributed profit as of</w:t>
            </w:r>
            <w:r w:rsidR="00704BFD" w:rsidRPr="00AD4B53">
              <w:rPr>
                <w:rFonts w:ascii="Arial" w:hAnsi="Arial" w:cs="Arial"/>
                <w:sz w:val="20"/>
                <w:szCs w:val="20"/>
              </w:rPr>
              <w:t xml:space="preserve"> 31/12/2015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12,631,010,758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704BFD" w:rsidRPr="00AD4B53" w:rsidRDefault="00680F3D" w:rsidP="00704B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Undistributed profit as of </w:t>
            </w:r>
            <w:r w:rsidR="00704BFD" w:rsidRPr="00AD4B53">
              <w:rPr>
                <w:rFonts w:ascii="Arial" w:hAnsi="Arial" w:cs="Arial"/>
                <w:sz w:val="20"/>
                <w:szCs w:val="20"/>
              </w:rPr>
              <w:t>31/12/2016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19,943,094,107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704BFD" w:rsidRPr="00AD4B53" w:rsidRDefault="00704BF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Distribution of profit after </w:t>
            </w:r>
            <w:r w:rsidR="00680F3D" w:rsidRPr="00AD4B53"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19,943,094,107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670" w:type="dxa"/>
          </w:tcPr>
          <w:p w:rsidR="00704BFD" w:rsidRPr="00AD4B53" w:rsidRDefault="00704BF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Reward and welfare fund (6</w:t>
            </w:r>
            <w:r w:rsidR="00680F3D" w:rsidRPr="00AD4B53">
              <w:rPr>
                <w:rFonts w:ascii="Arial" w:hAnsi="Arial" w:cs="Arial"/>
                <w:sz w:val="20"/>
                <w:szCs w:val="20"/>
              </w:rPr>
              <w:t>,</w:t>
            </w:r>
            <w:r w:rsidRPr="00AD4B53">
              <w:rPr>
                <w:rFonts w:ascii="Arial" w:hAnsi="Arial" w:cs="Arial"/>
                <w:sz w:val="20"/>
                <w:szCs w:val="20"/>
              </w:rPr>
              <w:t>1 = 5*3%)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598,292,823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670" w:type="dxa"/>
          </w:tcPr>
          <w:p w:rsidR="00704BFD" w:rsidRPr="00AD4B53" w:rsidRDefault="00704BF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Deduction of </w:t>
            </w:r>
            <w:r w:rsidR="00680F3D" w:rsidRPr="00AD4B53">
              <w:rPr>
                <w:rFonts w:ascii="Arial" w:hAnsi="Arial" w:cs="Arial"/>
                <w:sz w:val="20"/>
                <w:szCs w:val="20"/>
              </w:rPr>
              <w:t xml:space="preserve">investment and </w:t>
            </w:r>
            <w:r w:rsidRPr="00AD4B53">
              <w:rPr>
                <w:rFonts w:ascii="Arial" w:hAnsi="Arial" w:cs="Arial"/>
                <w:sz w:val="20"/>
                <w:szCs w:val="20"/>
              </w:rPr>
              <w:t>development</w:t>
            </w:r>
            <w:r w:rsidR="00680F3D"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4B53">
              <w:rPr>
                <w:rFonts w:ascii="Arial" w:hAnsi="Arial" w:cs="Arial"/>
                <w:sz w:val="20"/>
                <w:szCs w:val="20"/>
              </w:rPr>
              <w:t>fund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9,376,893,284</w:t>
            </w:r>
          </w:p>
        </w:tc>
      </w:tr>
      <w:tr w:rsidR="00704BFD" w:rsidRPr="00AD4B53" w:rsidTr="00680F3D">
        <w:tc>
          <w:tcPr>
            <w:tcW w:w="817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670" w:type="dxa"/>
          </w:tcPr>
          <w:p w:rsidR="00704BFD" w:rsidRPr="00AD4B53" w:rsidRDefault="00704BFD" w:rsidP="00704B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Dividend (VND 1,200/share)</w:t>
            </w:r>
          </w:p>
        </w:tc>
        <w:tc>
          <w:tcPr>
            <w:tcW w:w="1134" w:type="dxa"/>
          </w:tcPr>
          <w:p w:rsidR="00704BFD" w:rsidRPr="00AD4B53" w:rsidRDefault="00704BFD" w:rsidP="00704BF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55" w:type="dxa"/>
          </w:tcPr>
          <w:p w:rsidR="00704BFD" w:rsidRPr="00AD4B53" w:rsidRDefault="00704BFD" w:rsidP="00704BF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9,967,908,000</w:t>
            </w:r>
          </w:p>
        </w:tc>
      </w:tr>
    </w:tbl>
    <w:p w:rsidR="00704BFD" w:rsidRPr="00AD4B53" w:rsidRDefault="00704BFD" w:rsidP="00704BFD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t>Article 5.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680F3D" w:rsidRPr="00AD4B53">
        <w:rPr>
          <w:rFonts w:ascii="Arial" w:hAnsi="Arial" w:cs="Arial"/>
          <w:sz w:val="20"/>
          <w:szCs w:val="20"/>
        </w:rPr>
        <w:t xml:space="preserve">To approve the </w:t>
      </w:r>
      <w:r w:rsidRPr="00AD4B53">
        <w:rPr>
          <w:rFonts w:ascii="Arial" w:hAnsi="Arial" w:cs="Arial"/>
          <w:sz w:val="20"/>
          <w:szCs w:val="20"/>
        </w:rPr>
        <w:t xml:space="preserve">production, business and investment plans </w:t>
      </w:r>
      <w:r w:rsidR="00680F3D" w:rsidRPr="00AD4B53">
        <w:rPr>
          <w:rFonts w:ascii="Arial" w:hAnsi="Arial" w:cs="Arial"/>
          <w:sz w:val="20"/>
          <w:szCs w:val="20"/>
        </w:rPr>
        <w:t>in</w:t>
      </w:r>
      <w:r w:rsidRPr="00AD4B53">
        <w:rPr>
          <w:rFonts w:ascii="Arial" w:hAnsi="Arial" w:cs="Arial"/>
          <w:sz w:val="20"/>
          <w:szCs w:val="20"/>
        </w:rPr>
        <w:t xml:space="preserve"> 2017: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985"/>
      </w:tblGrid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245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985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Plan in 2017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04BFD" w:rsidRPr="00AD4B53" w:rsidRDefault="00704BF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Commercial electricity </w:t>
            </w:r>
            <w:r w:rsidR="00680F3D" w:rsidRPr="00AD4B53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985" w:type="dxa"/>
          </w:tcPr>
          <w:p w:rsidR="00704BFD" w:rsidRPr="00AD4B53" w:rsidRDefault="00704BFD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38,250,000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04BFD" w:rsidRPr="00AD4B53" w:rsidRDefault="00680F3D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Total production and business value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52,410,769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04BFD" w:rsidRPr="00AD4B53" w:rsidRDefault="00704BFD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DA7C3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48,053,344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704BFD" w:rsidRPr="00AD4B53" w:rsidRDefault="00680F3D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T</w:t>
            </w:r>
            <w:r w:rsidR="00704BFD" w:rsidRPr="00AD4B53">
              <w:rPr>
                <w:rFonts w:ascii="Arial" w:hAnsi="Arial" w:cs="Arial"/>
                <w:sz w:val="20"/>
                <w:szCs w:val="20"/>
              </w:rPr>
              <w:t>otal cost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DA7C3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35,236,274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704BFD" w:rsidRPr="00AD4B53" w:rsidRDefault="00704BFD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12,817,070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704BFD" w:rsidRPr="00AD4B53" w:rsidRDefault="00680F3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Proceeds</w:t>
            </w:r>
            <w:r w:rsidR="00704BFD" w:rsidRPr="00AD4B53">
              <w:rPr>
                <w:rFonts w:ascii="Arial" w:hAnsi="Arial" w:cs="Arial"/>
                <w:sz w:val="20"/>
                <w:szCs w:val="20"/>
              </w:rPr>
              <w:t xml:space="preserve"> into account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53,610,699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704BFD" w:rsidRPr="00AD4B53" w:rsidRDefault="00680F3D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Per capita income per month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DA7C3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9,495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704BFD" w:rsidRPr="00AD4B53" w:rsidRDefault="00704BFD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Dividend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704BFD" w:rsidRPr="00AD4B53" w:rsidRDefault="00DA7C3F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704BFD" w:rsidRPr="00AD4B53" w:rsidRDefault="00704BFD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Investment value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DA7C3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955,000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</w:tcPr>
          <w:p w:rsidR="00704BFD" w:rsidRPr="00AD4B53" w:rsidRDefault="00704BF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Additional investment </w:t>
            </w:r>
            <w:r w:rsidR="00680F3D" w:rsidRPr="00AD4B53">
              <w:rPr>
                <w:rFonts w:ascii="Arial" w:hAnsi="Arial" w:cs="Arial"/>
                <w:sz w:val="20"/>
                <w:szCs w:val="20"/>
              </w:rPr>
              <w:t>in 6Kv-</w:t>
            </w:r>
            <w:r w:rsidRPr="00AD4B53">
              <w:rPr>
                <w:rFonts w:ascii="Arial" w:hAnsi="Arial" w:cs="Arial"/>
                <w:sz w:val="20"/>
                <w:szCs w:val="20"/>
              </w:rPr>
              <w:t>side measuring system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155,000</w:t>
            </w:r>
          </w:p>
        </w:tc>
      </w:tr>
      <w:tr w:rsidR="00704BFD" w:rsidRPr="00AD4B53" w:rsidTr="00DC6A78">
        <w:tc>
          <w:tcPr>
            <w:tcW w:w="8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45" w:type="dxa"/>
          </w:tcPr>
          <w:p w:rsidR="00704BFD" w:rsidRPr="00AD4B53" w:rsidRDefault="00680F3D" w:rsidP="00680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Investment in </w:t>
            </w:r>
            <w:r w:rsidR="00704BFD" w:rsidRPr="00AD4B53">
              <w:rPr>
                <w:rFonts w:ascii="Arial" w:hAnsi="Arial" w:cs="Arial"/>
                <w:sz w:val="20"/>
                <w:szCs w:val="20"/>
              </w:rPr>
              <w:t>spill</w:t>
            </w:r>
            <w:r w:rsidRPr="00AD4B53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1417" w:type="dxa"/>
          </w:tcPr>
          <w:p w:rsidR="00704BFD" w:rsidRPr="00AD4B53" w:rsidRDefault="00704BFD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10</w:t>
            </w:r>
            <w:r w:rsidRPr="00AD4B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D4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A78" w:rsidRPr="00AD4B53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985" w:type="dxa"/>
          </w:tcPr>
          <w:p w:rsidR="00704BFD" w:rsidRPr="00AD4B53" w:rsidRDefault="00DA7C3F" w:rsidP="00DA7C3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</w:tr>
    </w:tbl>
    <w:p w:rsidR="00AB0E58" w:rsidRPr="00AD4B53" w:rsidRDefault="00AB0E58" w:rsidP="00AB0E58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lastRenderedPageBreak/>
        <w:t>Article 6.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680F3D" w:rsidRPr="00AD4B53">
        <w:rPr>
          <w:rFonts w:ascii="Arial" w:hAnsi="Arial" w:cs="Arial"/>
          <w:sz w:val="20"/>
          <w:szCs w:val="20"/>
        </w:rPr>
        <w:t xml:space="preserve">To approve the </w:t>
      </w:r>
      <w:r w:rsidRPr="00AD4B53">
        <w:rPr>
          <w:rFonts w:ascii="Arial" w:hAnsi="Arial" w:cs="Arial"/>
          <w:sz w:val="20"/>
          <w:szCs w:val="20"/>
        </w:rPr>
        <w:t xml:space="preserve">remuneration </w:t>
      </w:r>
      <w:r w:rsidR="00680F3D" w:rsidRPr="00AD4B53">
        <w:rPr>
          <w:rFonts w:ascii="Arial" w:hAnsi="Arial" w:cs="Arial"/>
          <w:sz w:val="20"/>
          <w:szCs w:val="20"/>
        </w:rPr>
        <w:t>settlement of members of the Board of Directors and Supervisory Board</w:t>
      </w:r>
      <w:r w:rsidRPr="00AD4B53">
        <w:rPr>
          <w:rFonts w:ascii="Arial" w:hAnsi="Arial" w:cs="Arial"/>
          <w:sz w:val="20"/>
          <w:szCs w:val="20"/>
        </w:rPr>
        <w:t xml:space="preserve"> in 2016, </w:t>
      </w:r>
      <w:r w:rsidR="00680F3D" w:rsidRPr="00AD4B53">
        <w:rPr>
          <w:rFonts w:ascii="Arial" w:hAnsi="Arial" w:cs="Arial"/>
          <w:sz w:val="20"/>
          <w:szCs w:val="20"/>
        </w:rPr>
        <w:t xml:space="preserve">the remuneration </w:t>
      </w:r>
      <w:r w:rsidRPr="00AD4B53">
        <w:rPr>
          <w:rFonts w:ascii="Arial" w:hAnsi="Arial" w:cs="Arial"/>
          <w:sz w:val="20"/>
          <w:szCs w:val="20"/>
        </w:rPr>
        <w:t xml:space="preserve">plan </w:t>
      </w:r>
      <w:r w:rsidR="00680F3D" w:rsidRPr="00AD4B53">
        <w:rPr>
          <w:rFonts w:ascii="Arial" w:hAnsi="Arial" w:cs="Arial"/>
          <w:sz w:val="20"/>
          <w:szCs w:val="20"/>
        </w:rPr>
        <w:t xml:space="preserve">in </w:t>
      </w:r>
      <w:r w:rsidRPr="00AD4B53">
        <w:rPr>
          <w:rFonts w:ascii="Arial" w:hAnsi="Arial" w:cs="Arial"/>
          <w:sz w:val="20"/>
          <w:szCs w:val="20"/>
        </w:rPr>
        <w:t>2017:</w:t>
      </w:r>
    </w:p>
    <w:p w:rsidR="00AB0E58" w:rsidRPr="00AD4B53" w:rsidRDefault="00AB0E58" w:rsidP="00AB0E58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1. Remuneration </w:t>
      </w:r>
      <w:r w:rsidR="00680F3D" w:rsidRPr="00AD4B53">
        <w:rPr>
          <w:rFonts w:ascii="Arial" w:hAnsi="Arial" w:cs="Arial"/>
          <w:sz w:val="20"/>
          <w:szCs w:val="20"/>
        </w:rPr>
        <w:t>settlement</w:t>
      </w:r>
      <w:r w:rsidRPr="00AD4B53">
        <w:rPr>
          <w:rFonts w:ascii="Arial" w:hAnsi="Arial" w:cs="Arial"/>
          <w:sz w:val="20"/>
          <w:szCs w:val="20"/>
        </w:rPr>
        <w:t xml:space="preserve"> in 2016: The average completion rate of </w:t>
      </w:r>
      <w:r w:rsidR="00680F3D" w:rsidRPr="00AD4B53">
        <w:rPr>
          <w:rFonts w:ascii="Arial" w:hAnsi="Arial" w:cs="Arial"/>
          <w:sz w:val="20"/>
          <w:szCs w:val="20"/>
        </w:rPr>
        <w:t xml:space="preserve">main </w:t>
      </w:r>
      <w:r w:rsidRPr="00AD4B53">
        <w:rPr>
          <w:rFonts w:ascii="Arial" w:hAnsi="Arial" w:cs="Arial"/>
          <w:sz w:val="20"/>
          <w:szCs w:val="20"/>
        </w:rPr>
        <w:t>financial economic indicators in 2016 (production</w:t>
      </w:r>
      <w:r w:rsidR="004339B4" w:rsidRPr="00AD4B53">
        <w:rPr>
          <w:rFonts w:ascii="Arial" w:hAnsi="Arial" w:cs="Arial"/>
          <w:sz w:val="20"/>
          <w:szCs w:val="20"/>
        </w:rPr>
        <w:t xml:space="preserve"> and business value</w:t>
      </w:r>
      <w:r w:rsidRPr="00AD4B53">
        <w:rPr>
          <w:rFonts w:ascii="Arial" w:hAnsi="Arial" w:cs="Arial"/>
          <w:sz w:val="20"/>
          <w:szCs w:val="20"/>
        </w:rPr>
        <w:t xml:space="preserve">, </w:t>
      </w:r>
      <w:r w:rsidR="004339B4" w:rsidRPr="00AD4B53">
        <w:rPr>
          <w:rFonts w:ascii="Arial" w:hAnsi="Arial" w:cs="Arial"/>
          <w:sz w:val="20"/>
          <w:szCs w:val="20"/>
        </w:rPr>
        <w:t>revenue</w:t>
      </w:r>
      <w:r w:rsidRPr="00AD4B53">
        <w:rPr>
          <w:rFonts w:ascii="Arial" w:hAnsi="Arial" w:cs="Arial"/>
          <w:sz w:val="20"/>
          <w:szCs w:val="20"/>
        </w:rPr>
        <w:t xml:space="preserve">, profit) reached 80%. Remuneration of members of the Board of </w:t>
      </w:r>
      <w:r w:rsidR="004339B4" w:rsidRPr="00AD4B53">
        <w:rPr>
          <w:rFonts w:ascii="Arial" w:hAnsi="Arial" w:cs="Arial"/>
          <w:sz w:val="20"/>
          <w:szCs w:val="20"/>
        </w:rPr>
        <w:t xml:space="preserve">Directors, </w:t>
      </w:r>
      <w:r w:rsidRPr="00AD4B53">
        <w:rPr>
          <w:rFonts w:ascii="Arial" w:hAnsi="Arial" w:cs="Arial"/>
          <w:sz w:val="20"/>
          <w:szCs w:val="20"/>
        </w:rPr>
        <w:t>Supervisors is VND 441,600,000</w:t>
      </w:r>
      <w:r w:rsidR="004339B4" w:rsidRPr="00AD4B53">
        <w:rPr>
          <w:rFonts w:ascii="Arial" w:hAnsi="Arial" w:cs="Arial"/>
          <w:sz w:val="20"/>
          <w:szCs w:val="20"/>
        </w:rPr>
        <w:t xml:space="preserve"> in 2016</w:t>
      </w:r>
      <w:r w:rsidRPr="00AD4B53">
        <w:rPr>
          <w:rFonts w:ascii="Arial" w:hAnsi="Arial" w:cs="Arial"/>
          <w:sz w:val="20"/>
          <w:szCs w:val="20"/>
        </w:rPr>
        <w:t>.</w:t>
      </w:r>
    </w:p>
    <w:p w:rsidR="00AB0E58" w:rsidRPr="00AD4B53" w:rsidRDefault="00AB0E58" w:rsidP="00AB0E58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2. Remuneration </w:t>
      </w:r>
      <w:r w:rsidR="004339B4" w:rsidRPr="00AD4B53">
        <w:rPr>
          <w:rFonts w:ascii="Arial" w:hAnsi="Arial" w:cs="Arial"/>
          <w:sz w:val="20"/>
          <w:szCs w:val="20"/>
        </w:rPr>
        <w:t>plan</w:t>
      </w:r>
      <w:r w:rsidRPr="00AD4B53">
        <w:rPr>
          <w:rFonts w:ascii="Arial" w:hAnsi="Arial" w:cs="Arial"/>
          <w:sz w:val="20"/>
          <w:szCs w:val="20"/>
        </w:rPr>
        <w:t xml:space="preserve"> in 2017:</w:t>
      </w:r>
    </w:p>
    <w:p w:rsidR="00704BFD" w:rsidRPr="00AD4B53" w:rsidRDefault="00AB0E58" w:rsidP="00AB0E58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Remuneration of the Board of Directors, Supervisors </w:t>
      </w:r>
      <w:r w:rsidR="004339B4" w:rsidRPr="00AD4B53">
        <w:rPr>
          <w:rFonts w:ascii="Arial" w:hAnsi="Arial" w:cs="Arial"/>
          <w:sz w:val="20"/>
          <w:szCs w:val="20"/>
        </w:rPr>
        <w:t>is</w:t>
      </w:r>
      <w:r w:rsidRPr="00AD4B53">
        <w:rPr>
          <w:rFonts w:ascii="Arial" w:hAnsi="Arial" w:cs="Arial"/>
          <w:sz w:val="20"/>
          <w:szCs w:val="20"/>
        </w:rPr>
        <w:t xml:space="preserve"> settled at the end of the year according to the performance of </w:t>
      </w:r>
      <w:r w:rsidR="004339B4" w:rsidRPr="00AD4B53">
        <w:rPr>
          <w:rFonts w:ascii="Arial" w:hAnsi="Arial" w:cs="Arial"/>
          <w:sz w:val="20"/>
          <w:szCs w:val="20"/>
        </w:rPr>
        <w:t xml:space="preserve">production and </w:t>
      </w:r>
      <w:r w:rsidRPr="00AD4B53">
        <w:rPr>
          <w:rFonts w:ascii="Arial" w:hAnsi="Arial" w:cs="Arial"/>
          <w:sz w:val="20"/>
          <w:szCs w:val="20"/>
        </w:rPr>
        <w:t>business plan (Target</w:t>
      </w:r>
      <w:r w:rsidR="004339B4" w:rsidRPr="00AD4B53">
        <w:rPr>
          <w:rFonts w:ascii="Arial" w:hAnsi="Arial" w:cs="Arial"/>
          <w:sz w:val="20"/>
          <w:szCs w:val="20"/>
        </w:rPr>
        <w:t>s:</w:t>
      </w:r>
      <w:r w:rsidRPr="00AD4B53">
        <w:rPr>
          <w:rFonts w:ascii="Arial" w:hAnsi="Arial" w:cs="Arial"/>
          <w:sz w:val="20"/>
          <w:szCs w:val="20"/>
        </w:rPr>
        <w:t xml:space="preserve"> output, </w:t>
      </w:r>
      <w:r w:rsidR="004339B4" w:rsidRPr="00AD4B53">
        <w:rPr>
          <w:rFonts w:ascii="Arial" w:hAnsi="Arial" w:cs="Arial"/>
          <w:sz w:val="20"/>
          <w:szCs w:val="20"/>
        </w:rPr>
        <w:t>revenue</w:t>
      </w:r>
      <w:r w:rsidRPr="00AD4B53">
        <w:rPr>
          <w:rFonts w:ascii="Arial" w:hAnsi="Arial" w:cs="Arial"/>
          <w:sz w:val="20"/>
          <w:szCs w:val="20"/>
        </w:rPr>
        <w:t xml:space="preserve">, profit). If completing 100% of the plan, the total remuneration </w:t>
      </w:r>
      <w:r w:rsidR="004339B4" w:rsidRPr="00AD4B53">
        <w:rPr>
          <w:rFonts w:ascii="Arial" w:hAnsi="Arial" w:cs="Arial"/>
          <w:sz w:val="20"/>
          <w:szCs w:val="20"/>
        </w:rPr>
        <w:t xml:space="preserve">budget </w:t>
      </w:r>
      <w:r w:rsidRPr="00AD4B53">
        <w:rPr>
          <w:rFonts w:ascii="Arial" w:hAnsi="Arial" w:cs="Arial"/>
          <w:sz w:val="20"/>
          <w:szCs w:val="20"/>
        </w:rPr>
        <w:t xml:space="preserve">of the Board of </w:t>
      </w:r>
      <w:r w:rsidR="004339B4" w:rsidRPr="00AD4B53">
        <w:rPr>
          <w:rFonts w:ascii="Arial" w:hAnsi="Arial" w:cs="Arial"/>
          <w:sz w:val="20"/>
          <w:szCs w:val="20"/>
        </w:rPr>
        <w:t xml:space="preserve">Directors, </w:t>
      </w:r>
      <w:r w:rsidRPr="00AD4B53">
        <w:rPr>
          <w:rFonts w:ascii="Arial" w:hAnsi="Arial" w:cs="Arial"/>
          <w:sz w:val="20"/>
          <w:szCs w:val="20"/>
        </w:rPr>
        <w:t>Supervisors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120"/>
        <w:gridCol w:w="2394"/>
      </w:tblGrid>
      <w:tr w:rsidR="00AB0E58" w:rsidRPr="00AD4B53" w:rsidTr="00FB5ACC">
        <w:tc>
          <w:tcPr>
            <w:tcW w:w="817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245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20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394" w:type="dxa"/>
          </w:tcPr>
          <w:p w:rsidR="00AB0E58" w:rsidRPr="00AD4B53" w:rsidRDefault="004339B4" w:rsidP="00AB0E5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53">
              <w:rPr>
                <w:rFonts w:ascii="Arial" w:hAnsi="Arial" w:cs="Arial"/>
                <w:b/>
                <w:sz w:val="20"/>
                <w:szCs w:val="20"/>
              </w:rPr>
              <w:t xml:space="preserve">Remuneration </w:t>
            </w:r>
            <w:r w:rsidR="00AB0E58" w:rsidRPr="00AD4B53">
              <w:rPr>
                <w:rFonts w:ascii="Arial" w:hAnsi="Arial" w:cs="Arial"/>
                <w:b/>
                <w:sz w:val="20"/>
                <w:szCs w:val="20"/>
              </w:rPr>
              <w:t>/person/month (VND)</w:t>
            </w:r>
          </w:p>
        </w:tc>
      </w:tr>
      <w:tr w:rsidR="00AB0E58" w:rsidRPr="00AD4B53" w:rsidTr="00FB5ACC">
        <w:tc>
          <w:tcPr>
            <w:tcW w:w="817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AB0E58" w:rsidRPr="00AD4B53" w:rsidRDefault="00AB0E58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Chairman of the Board</w:t>
            </w:r>
            <w:r w:rsidR="004339B4" w:rsidRPr="00AD4B53">
              <w:rPr>
                <w:rFonts w:ascii="Arial" w:hAnsi="Arial" w:cs="Arial"/>
                <w:sz w:val="20"/>
                <w:szCs w:val="20"/>
              </w:rPr>
              <w:t xml:space="preserve"> of Directors</w:t>
            </w:r>
          </w:p>
        </w:tc>
        <w:tc>
          <w:tcPr>
            <w:tcW w:w="1120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AB0E58" w:rsidRPr="00AD4B53" w:rsidRDefault="00AB0E58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8,000,000</w:t>
            </w:r>
          </w:p>
        </w:tc>
      </w:tr>
      <w:tr w:rsidR="00AB0E58" w:rsidRPr="00AD4B53" w:rsidTr="00FB5ACC">
        <w:tc>
          <w:tcPr>
            <w:tcW w:w="817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AB0E58" w:rsidRPr="00AD4B53" w:rsidRDefault="00AB0E58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Member</w:t>
            </w:r>
            <w:r w:rsidR="004339B4" w:rsidRPr="00AD4B53">
              <w:rPr>
                <w:rFonts w:ascii="Arial" w:hAnsi="Arial" w:cs="Arial"/>
                <w:sz w:val="20"/>
                <w:szCs w:val="20"/>
              </w:rPr>
              <w:t xml:space="preserve"> of the Board of Directors</w:t>
            </w:r>
          </w:p>
        </w:tc>
        <w:tc>
          <w:tcPr>
            <w:tcW w:w="1120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AB0E58" w:rsidRPr="00AD4B53" w:rsidRDefault="00AB0E58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6,000,000</w:t>
            </w:r>
          </w:p>
        </w:tc>
      </w:tr>
      <w:tr w:rsidR="00AB0E58" w:rsidRPr="00AD4B53" w:rsidTr="00FB5ACC">
        <w:tc>
          <w:tcPr>
            <w:tcW w:w="817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AB0E58" w:rsidRPr="00AD4B53" w:rsidRDefault="00AB0E58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Chief of Supervisory Board</w:t>
            </w:r>
          </w:p>
        </w:tc>
        <w:tc>
          <w:tcPr>
            <w:tcW w:w="1120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AB0E58" w:rsidRPr="00AD4B53" w:rsidRDefault="00AB0E58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6,000,000</w:t>
            </w:r>
          </w:p>
        </w:tc>
      </w:tr>
      <w:tr w:rsidR="00AB0E58" w:rsidRPr="00AD4B53" w:rsidTr="00FB5ACC">
        <w:tc>
          <w:tcPr>
            <w:tcW w:w="817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AB0E58" w:rsidRPr="00AD4B53" w:rsidRDefault="00AB0E58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120" w:type="dxa"/>
          </w:tcPr>
          <w:p w:rsidR="00AB0E58" w:rsidRPr="00AD4B53" w:rsidRDefault="00AB0E58" w:rsidP="00FB5AC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AB0E58" w:rsidRPr="00AD4B53" w:rsidRDefault="00AB0E58" w:rsidP="00FB5AC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4,000,000</w:t>
            </w:r>
          </w:p>
        </w:tc>
      </w:tr>
    </w:tbl>
    <w:p w:rsidR="00E118FA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When the completion rate of the main targets (output, </w:t>
      </w:r>
      <w:r w:rsidR="004B213A" w:rsidRPr="00AD4B53">
        <w:rPr>
          <w:rFonts w:ascii="Arial" w:hAnsi="Arial" w:cs="Arial"/>
          <w:sz w:val="20"/>
          <w:szCs w:val="20"/>
        </w:rPr>
        <w:t>revenue</w:t>
      </w:r>
      <w:r w:rsidRPr="00AD4B53">
        <w:rPr>
          <w:rFonts w:ascii="Arial" w:hAnsi="Arial" w:cs="Arial"/>
          <w:sz w:val="20"/>
          <w:szCs w:val="20"/>
        </w:rPr>
        <w:t xml:space="preserve">, profit) reaches &lt;100% of the annual plan, the remuneration of the Board of </w:t>
      </w:r>
      <w:r w:rsidR="004B213A" w:rsidRPr="00AD4B53">
        <w:rPr>
          <w:rFonts w:ascii="Arial" w:hAnsi="Arial" w:cs="Arial"/>
          <w:sz w:val="20"/>
          <w:szCs w:val="20"/>
        </w:rPr>
        <w:t>Directors</w:t>
      </w:r>
      <w:r w:rsidRPr="00AD4B53">
        <w:rPr>
          <w:rFonts w:ascii="Arial" w:hAnsi="Arial" w:cs="Arial"/>
          <w:sz w:val="20"/>
          <w:szCs w:val="20"/>
        </w:rPr>
        <w:t xml:space="preserve"> and Supervisors is paid corresponding to the plan completion rate and </w:t>
      </w:r>
      <w:r w:rsidR="004B213A" w:rsidRPr="00AD4B53">
        <w:rPr>
          <w:rFonts w:ascii="Arial" w:hAnsi="Arial" w:cs="Arial"/>
          <w:sz w:val="20"/>
          <w:szCs w:val="20"/>
        </w:rPr>
        <w:t>n</w:t>
      </w:r>
      <w:r w:rsidRPr="00AD4B53">
        <w:rPr>
          <w:rFonts w:ascii="Arial" w:hAnsi="Arial" w:cs="Arial"/>
          <w:sz w:val="20"/>
          <w:szCs w:val="20"/>
        </w:rPr>
        <w:t>ot less than 80% of the entitlement.</w:t>
      </w:r>
    </w:p>
    <w:p w:rsidR="00E118FA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3. In case the </w:t>
      </w:r>
      <w:r w:rsidR="004B213A" w:rsidRPr="00AD4B53">
        <w:rPr>
          <w:rFonts w:ascii="Arial" w:hAnsi="Arial" w:cs="Arial"/>
          <w:sz w:val="20"/>
          <w:szCs w:val="20"/>
        </w:rPr>
        <w:t>C</w:t>
      </w:r>
      <w:r w:rsidRPr="00AD4B53">
        <w:rPr>
          <w:rFonts w:ascii="Arial" w:hAnsi="Arial" w:cs="Arial"/>
          <w:sz w:val="20"/>
          <w:szCs w:val="20"/>
        </w:rPr>
        <w:t xml:space="preserve">ompany exceeds the profit plan, the Board of Directors is authorized to decide the </w:t>
      </w:r>
      <w:r w:rsidR="004B213A" w:rsidRPr="00AD4B53">
        <w:rPr>
          <w:rFonts w:ascii="Arial" w:hAnsi="Arial" w:cs="Arial"/>
          <w:sz w:val="20"/>
          <w:szCs w:val="20"/>
        </w:rPr>
        <w:t>reward</w:t>
      </w:r>
      <w:r w:rsidRPr="00AD4B53">
        <w:rPr>
          <w:rFonts w:ascii="Arial" w:hAnsi="Arial" w:cs="Arial"/>
          <w:sz w:val="20"/>
          <w:szCs w:val="20"/>
        </w:rPr>
        <w:t xml:space="preserve"> for the Board of Management (members of the Board of </w:t>
      </w:r>
      <w:r w:rsidR="004B213A" w:rsidRPr="00AD4B53">
        <w:rPr>
          <w:rFonts w:ascii="Arial" w:hAnsi="Arial" w:cs="Arial"/>
          <w:sz w:val="20"/>
          <w:szCs w:val="20"/>
        </w:rPr>
        <w:t>Directors</w:t>
      </w:r>
      <w:r w:rsidRPr="00AD4B53">
        <w:rPr>
          <w:rFonts w:ascii="Arial" w:hAnsi="Arial" w:cs="Arial"/>
          <w:sz w:val="20"/>
          <w:szCs w:val="20"/>
        </w:rPr>
        <w:t xml:space="preserve">, Board of </w:t>
      </w:r>
      <w:r w:rsidR="004B213A" w:rsidRPr="00AD4B53">
        <w:rPr>
          <w:rFonts w:ascii="Arial" w:hAnsi="Arial" w:cs="Arial"/>
          <w:sz w:val="20"/>
          <w:szCs w:val="20"/>
        </w:rPr>
        <w:t>General Directors</w:t>
      </w:r>
      <w:r w:rsidRPr="00AD4B53">
        <w:rPr>
          <w:rFonts w:ascii="Arial" w:hAnsi="Arial" w:cs="Arial"/>
          <w:sz w:val="20"/>
          <w:szCs w:val="20"/>
        </w:rPr>
        <w:t xml:space="preserve"> and other managers) </w:t>
      </w:r>
      <w:r w:rsidR="004B213A" w:rsidRPr="00AD4B53">
        <w:rPr>
          <w:rFonts w:ascii="Arial" w:hAnsi="Arial" w:cs="Arial"/>
          <w:sz w:val="20"/>
          <w:szCs w:val="20"/>
        </w:rPr>
        <w:t>with an amount not exceeding</w:t>
      </w:r>
      <w:r w:rsidRPr="00AD4B53">
        <w:rPr>
          <w:rFonts w:ascii="Arial" w:hAnsi="Arial" w:cs="Arial"/>
          <w:sz w:val="20"/>
          <w:szCs w:val="20"/>
        </w:rPr>
        <w:t xml:space="preserve"> 30% of the after-tax profit </w:t>
      </w:r>
      <w:r w:rsidR="004B213A" w:rsidRPr="00AD4B53">
        <w:rPr>
          <w:rFonts w:ascii="Arial" w:hAnsi="Arial" w:cs="Arial"/>
          <w:sz w:val="20"/>
          <w:szCs w:val="20"/>
        </w:rPr>
        <w:t>beyond</w:t>
      </w:r>
      <w:r w:rsidRPr="00AD4B53">
        <w:rPr>
          <w:rFonts w:ascii="Arial" w:hAnsi="Arial" w:cs="Arial"/>
          <w:sz w:val="20"/>
          <w:szCs w:val="20"/>
        </w:rPr>
        <w:t xml:space="preserve"> the plan but maximum </w:t>
      </w:r>
      <w:r w:rsidR="004B213A" w:rsidRPr="00AD4B53">
        <w:rPr>
          <w:rFonts w:ascii="Arial" w:hAnsi="Arial" w:cs="Arial"/>
          <w:sz w:val="20"/>
          <w:szCs w:val="20"/>
        </w:rPr>
        <w:t xml:space="preserve">VND </w:t>
      </w:r>
      <w:r w:rsidRPr="00AD4B53">
        <w:rPr>
          <w:rFonts w:ascii="Arial" w:hAnsi="Arial" w:cs="Arial"/>
          <w:sz w:val="20"/>
          <w:szCs w:val="20"/>
        </w:rPr>
        <w:t>300,000,000 (In words: Three hundred million VND).</w:t>
      </w:r>
    </w:p>
    <w:p w:rsidR="00E118FA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t>Article 7.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4B213A" w:rsidRPr="00AD4B53">
        <w:rPr>
          <w:rFonts w:ascii="Arial" w:hAnsi="Arial" w:cs="Arial"/>
          <w:sz w:val="20"/>
          <w:szCs w:val="20"/>
        </w:rPr>
        <w:t>To approve</w:t>
      </w:r>
      <w:r w:rsidRPr="00AD4B53">
        <w:rPr>
          <w:rFonts w:ascii="Arial" w:hAnsi="Arial" w:cs="Arial"/>
          <w:sz w:val="20"/>
          <w:szCs w:val="20"/>
        </w:rPr>
        <w:t xml:space="preserve"> the finalization of the charter capital of the </w:t>
      </w:r>
      <w:r w:rsidR="00581002" w:rsidRPr="00AD4B53">
        <w:rPr>
          <w:rFonts w:ascii="Arial" w:hAnsi="Arial" w:cs="Arial"/>
          <w:sz w:val="20"/>
          <w:szCs w:val="20"/>
        </w:rPr>
        <w:t>C</w:t>
      </w:r>
      <w:r w:rsidRPr="00AD4B53">
        <w:rPr>
          <w:rFonts w:ascii="Arial" w:hAnsi="Arial" w:cs="Arial"/>
          <w:sz w:val="20"/>
          <w:szCs w:val="20"/>
        </w:rPr>
        <w:t xml:space="preserve">ompany according to the </w:t>
      </w:r>
      <w:r w:rsidR="00581002" w:rsidRPr="00AD4B53">
        <w:rPr>
          <w:rFonts w:ascii="Arial" w:hAnsi="Arial" w:cs="Arial"/>
          <w:sz w:val="20"/>
          <w:szCs w:val="20"/>
        </w:rPr>
        <w:t xml:space="preserve">actual </w:t>
      </w:r>
      <w:r w:rsidRPr="00AD4B53">
        <w:rPr>
          <w:rFonts w:ascii="Arial" w:hAnsi="Arial" w:cs="Arial"/>
          <w:sz w:val="20"/>
          <w:szCs w:val="20"/>
        </w:rPr>
        <w:t>capital contributed by shareholders and adjust the business registration:</w:t>
      </w:r>
    </w:p>
    <w:p w:rsidR="00E118FA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- </w:t>
      </w:r>
      <w:r w:rsidR="00581002" w:rsidRPr="00AD4B53">
        <w:rPr>
          <w:rFonts w:ascii="Arial" w:hAnsi="Arial" w:cs="Arial"/>
          <w:sz w:val="20"/>
          <w:szCs w:val="20"/>
        </w:rPr>
        <w:t>To finalize</w:t>
      </w:r>
      <w:r w:rsidRPr="00AD4B53">
        <w:rPr>
          <w:rFonts w:ascii="Arial" w:hAnsi="Arial" w:cs="Arial"/>
          <w:sz w:val="20"/>
          <w:szCs w:val="20"/>
        </w:rPr>
        <w:t xml:space="preserve"> the charter capital by the actual capital </w:t>
      </w:r>
      <w:r w:rsidR="00610FC9" w:rsidRPr="00AD4B53">
        <w:rPr>
          <w:rFonts w:ascii="Arial" w:hAnsi="Arial" w:cs="Arial"/>
          <w:sz w:val="20"/>
          <w:szCs w:val="20"/>
        </w:rPr>
        <w:t xml:space="preserve">contributed by </w:t>
      </w:r>
      <w:r w:rsidRPr="00AD4B53">
        <w:rPr>
          <w:rFonts w:ascii="Arial" w:hAnsi="Arial" w:cs="Arial"/>
          <w:sz w:val="20"/>
          <w:szCs w:val="20"/>
        </w:rPr>
        <w:t xml:space="preserve">shareholders </w:t>
      </w:r>
      <w:r w:rsidR="00610FC9" w:rsidRPr="00AD4B53">
        <w:rPr>
          <w:rFonts w:ascii="Arial" w:hAnsi="Arial" w:cs="Arial"/>
          <w:sz w:val="20"/>
          <w:szCs w:val="20"/>
        </w:rPr>
        <w:t xml:space="preserve">which </w:t>
      </w:r>
      <w:r w:rsidRPr="00AD4B53">
        <w:rPr>
          <w:rFonts w:ascii="Arial" w:hAnsi="Arial" w:cs="Arial"/>
          <w:sz w:val="20"/>
          <w:szCs w:val="20"/>
        </w:rPr>
        <w:t xml:space="preserve">is </w:t>
      </w:r>
      <w:r w:rsidR="00610FC9" w:rsidRPr="00AD4B53">
        <w:rPr>
          <w:rFonts w:ascii="Arial" w:hAnsi="Arial" w:cs="Arial"/>
          <w:sz w:val="20"/>
          <w:szCs w:val="20"/>
        </w:rPr>
        <w:t xml:space="preserve">VND </w:t>
      </w:r>
      <w:r w:rsidRPr="00AD4B53">
        <w:rPr>
          <w:rFonts w:ascii="Arial" w:hAnsi="Arial" w:cs="Arial"/>
          <w:sz w:val="20"/>
          <w:szCs w:val="20"/>
        </w:rPr>
        <w:t>83</w:t>
      </w:r>
      <w:r w:rsidR="00610FC9" w:rsidRPr="00AD4B53">
        <w:rPr>
          <w:rFonts w:ascii="Arial" w:hAnsi="Arial" w:cs="Arial"/>
          <w:sz w:val="20"/>
          <w:szCs w:val="20"/>
        </w:rPr>
        <w:t>,</w:t>
      </w:r>
      <w:r w:rsidRPr="00AD4B53">
        <w:rPr>
          <w:rFonts w:ascii="Arial" w:hAnsi="Arial" w:cs="Arial"/>
          <w:sz w:val="20"/>
          <w:szCs w:val="20"/>
        </w:rPr>
        <w:t>065</w:t>
      </w:r>
      <w:r w:rsidR="00610FC9" w:rsidRPr="00AD4B53">
        <w:rPr>
          <w:rFonts w:ascii="Arial" w:hAnsi="Arial" w:cs="Arial"/>
          <w:sz w:val="20"/>
          <w:szCs w:val="20"/>
        </w:rPr>
        <w:t>,</w:t>
      </w:r>
      <w:r w:rsidRPr="00AD4B53">
        <w:rPr>
          <w:rFonts w:ascii="Arial" w:hAnsi="Arial" w:cs="Arial"/>
          <w:sz w:val="20"/>
          <w:szCs w:val="20"/>
        </w:rPr>
        <w:t>9</w:t>
      </w:r>
      <w:r w:rsidR="00610FC9" w:rsidRPr="00AD4B53">
        <w:rPr>
          <w:rFonts w:ascii="Arial" w:hAnsi="Arial" w:cs="Arial"/>
          <w:sz w:val="20"/>
          <w:szCs w:val="20"/>
        </w:rPr>
        <w:t>00,000</w:t>
      </w:r>
      <w:r w:rsidRPr="00AD4B53">
        <w:rPr>
          <w:rFonts w:ascii="Arial" w:hAnsi="Arial" w:cs="Arial"/>
          <w:sz w:val="20"/>
          <w:szCs w:val="20"/>
        </w:rPr>
        <w:t xml:space="preserve"> (In words: Eighty three billion, sixty five million, nine hundred thousand dongs only). Total </w:t>
      </w:r>
      <w:r w:rsidR="00610FC9" w:rsidRPr="00AD4B53">
        <w:rPr>
          <w:rFonts w:ascii="Arial" w:hAnsi="Arial" w:cs="Arial"/>
          <w:sz w:val="20"/>
          <w:szCs w:val="20"/>
        </w:rPr>
        <w:t xml:space="preserve">outstanding </w:t>
      </w:r>
      <w:r w:rsidRPr="00AD4B53">
        <w:rPr>
          <w:rFonts w:ascii="Arial" w:hAnsi="Arial" w:cs="Arial"/>
          <w:sz w:val="20"/>
          <w:szCs w:val="20"/>
        </w:rPr>
        <w:t>shares</w:t>
      </w:r>
      <w:r w:rsidR="00610FC9" w:rsidRPr="00AD4B53">
        <w:rPr>
          <w:rFonts w:ascii="Arial" w:hAnsi="Arial" w:cs="Arial"/>
          <w:sz w:val="20"/>
          <w:szCs w:val="20"/>
        </w:rPr>
        <w:t xml:space="preserve"> are</w:t>
      </w:r>
      <w:r w:rsidRPr="00AD4B53">
        <w:rPr>
          <w:rFonts w:ascii="Arial" w:hAnsi="Arial" w:cs="Arial"/>
          <w:sz w:val="20"/>
          <w:szCs w:val="20"/>
        </w:rPr>
        <w:t xml:space="preserve"> 8,306,590 shares (In words: Eight million, three hundred and six thousand, five hundred and ninety shar</w:t>
      </w:r>
      <w:r w:rsidR="00610FC9" w:rsidRPr="00AD4B53">
        <w:rPr>
          <w:rFonts w:ascii="Arial" w:hAnsi="Arial" w:cs="Arial"/>
          <w:sz w:val="20"/>
          <w:szCs w:val="20"/>
        </w:rPr>
        <w:t>es) with par value of VND10,000</w:t>
      </w:r>
      <w:r w:rsidRPr="00AD4B53">
        <w:rPr>
          <w:rFonts w:ascii="Arial" w:hAnsi="Arial" w:cs="Arial"/>
          <w:sz w:val="20"/>
          <w:szCs w:val="20"/>
        </w:rPr>
        <w:t>/share.</w:t>
      </w:r>
    </w:p>
    <w:p w:rsidR="00E118FA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The General </w:t>
      </w:r>
      <w:r w:rsidR="00610FC9" w:rsidRPr="00AD4B53">
        <w:rPr>
          <w:rFonts w:ascii="Arial" w:hAnsi="Arial" w:cs="Arial"/>
          <w:sz w:val="20"/>
          <w:szCs w:val="20"/>
        </w:rPr>
        <w:t>Meeting</w:t>
      </w:r>
      <w:r w:rsidRPr="00AD4B53">
        <w:rPr>
          <w:rFonts w:ascii="Arial" w:hAnsi="Arial" w:cs="Arial"/>
          <w:sz w:val="20"/>
          <w:szCs w:val="20"/>
        </w:rPr>
        <w:t xml:space="preserve"> of Shareholders assigns the Board of Directors to work with the authorized body to adjust </w:t>
      </w:r>
      <w:r w:rsidR="00610FC9" w:rsidRPr="00AD4B53">
        <w:rPr>
          <w:rFonts w:ascii="Arial" w:hAnsi="Arial" w:cs="Arial"/>
          <w:sz w:val="20"/>
          <w:szCs w:val="20"/>
        </w:rPr>
        <w:t xml:space="preserve">the </w:t>
      </w:r>
      <w:r w:rsidRPr="00AD4B53">
        <w:rPr>
          <w:rFonts w:ascii="Arial" w:hAnsi="Arial" w:cs="Arial"/>
          <w:sz w:val="20"/>
          <w:szCs w:val="20"/>
        </w:rPr>
        <w:t>business registration according to the new charter capital of VND 83,065,900,000.</w:t>
      </w:r>
    </w:p>
    <w:p w:rsidR="00E118FA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t>Article 9.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610FC9" w:rsidRPr="00AD4B53">
        <w:rPr>
          <w:rFonts w:ascii="Arial" w:hAnsi="Arial" w:cs="Arial"/>
          <w:sz w:val="20"/>
          <w:szCs w:val="20"/>
        </w:rPr>
        <w:t xml:space="preserve">To approve the </w:t>
      </w:r>
      <w:r w:rsidRPr="00AD4B53">
        <w:rPr>
          <w:rFonts w:ascii="Arial" w:hAnsi="Arial" w:cs="Arial"/>
          <w:sz w:val="20"/>
          <w:szCs w:val="20"/>
        </w:rPr>
        <w:t xml:space="preserve">results of election of candidates to the Board of Directors and </w:t>
      </w:r>
      <w:r w:rsidR="00610FC9" w:rsidRPr="00AD4B53">
        <w:rPr>
          <w:rFonts w:ascii="Arial" w:hAnsi="Arial" w:cs="Arial"/>
          <w:sz w:val="20"/>
          <w:szCs w:val="20"/>
        </w:rPr>
        <w:t>S</w:t>
      </w:r>
      <w:r w:rsidRPr="00AD4B53">
        <w:rPr>
          <w:rFonts w:ascii="Arial" w:hAnsi="Arial" w:cs="Arial"/>
          <w:sz w:val="20"/>
          <w:szCs w:val="20"/>
        </w:rPr>
        <w:t xml:space="preserve">upervisors of the Company for the third term (2017 </w:t>
      </w:r>
      <w:r w:rsidR="00610FC9" w:rsidRPr="00AD4B53">
        <w:rPr>
          <w:rFonts w:ascii="Arial" w:hAnsi="Arial" w:cs="Arial"/>
          <w:sz w:val="20"/>
          <w:szCs w:val="20"/>
        </w:rPr>
        <w:sym w:font="Symbol" w:char="F0B8"/>
      </w:r>
      <w:r w:rsidRPr="00AD4B53">
        <w:rPr>
          <w:rFonts w:ascii="Arial" w:hAnsi="Arial" w:cs="Arial"/>
          <w:sz w:val="20"/>
          <w:szCs w:val="20"/>
        </w:rPr>
        <w:t xml:space="preserve"> 2022):</w:t>
      </w:r>
    </w:p>
    <w:p w:rsidR="00AB0E58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>1. Results of election of the Board of Directors: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E118FA" w:rsidRPr="00AD4B53" w:rsidTr="00E118FA">
        <w:tc>
          <w:tcPr>
            <w:tcW w:w="3936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(i) Mr.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Tran Van Ngu</w:t>
            </w:r>
          </w:p>
        </w:tc>
        <w:tc>
          <w:tcPr>
            <w:tcW w:w="5640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Vote, 161%</w:t>
            </w:r>
          </w:p>
        </w:tc>
      </w:tr>
      <w:tr w:rsidR="00E118FA" w:rsidRPr="00AD4B53" w:rsidTr="00E118FA">
        <w:tc>
          <w:tcPr>
            <w:tcW w:w="3936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(ii) Mr.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Pham Van Hung</w:t>
            </w:r>
          </w:p>
        </w:tc>
        <w:tc>
          <w:tcPr>
            <w:tcW w:w="5640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Vote, 91%</w:t>
            </w:r>
          </w:p>
        </w:tc>
      </w:tr>
      <w:tr w:rsidR="00E118FA" w:rsidRPr="00AD4B53" w:rsidTr="00E118FA">
        <w:tc>
          <w:tcPr>
            <w:tcW w:w="3936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(iii) Mr.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Pham Minh Ngoc</w:t>
            </w:r>
          </w:p>
        </w:tc>
        <w:tc>
          <w:tcPr>
            <w:tcW w:w="5640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Vote, 92%</w:t>
            </w:r>
          </w:p>
        </w:tc>
      </w:tr>
      <w:tr w:rsidR="00E118FA" w:rsidRPr="00AD4B53" w:rsidTr="00E118FA">
        <w:tc>
          <w:tcPr>
            <w:tcW w:w="3936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(iv) Mr.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Vi Giang Khu</w:t>
            </w:r>
          </w:p>
        </w:tc>
        <w:tc>
          <w:tcPr>
            <w:tcW w:w="5640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Vote, 90%</w:t>
            </w:r>
          </w:p>
        </w:tc>
      </w:tr>
      <w:tr w:rsidR="00E118FA" w:rsidRPr="00AD4B53" w:rsidTr="00E118FA">
        <w:tc>
          <w:tcPr>
            <w:tcW w:w="3936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lastRenderedPageBreak/>
              <w:t xml:space="preserve">(v) Mr.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Nguyen Van Tuy</w:t>
            </w:r>
          </w:p>
        </w:tc>
        <w:tc>
          <w:tcPr>
            <w:tcW w:w="5640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Vote, 66%</w:t>
            </w:r>
          </w:p>
        </w:tc>
      </w:tr>
    </w:tbl>
    <w:p w:rsidR="00E118FA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The </w:t>
      </w:r>
      <w:r w:rsidR="00610FC9" w:rsidRPr="00AD4B53">
        <w:rPr>
          <w:rFonts w:ascii="Arial" w:hAnsi="Arial" w:cs="Arial"/>
          <w:sz w:val="20"/>
          <w:szCs w:val="20"/>
        </w:rPr>
        <w:t xml:space="preserve">persons </w:t>
      </w:r>
      <w:r w:rsidRPr="00AD4B53">
        <w:rPr>
          <w:rFonts w:ascii="Arial" w:hAnsi="Arial" w:cs="Arial"/>
          <w:sz w:val="20"/>
          <w:szCs w:val="20"/>
        </w:rPr>
        <w:t xml:space="preserve">named </w:t>
      </w:r>
      <w:r w:rsidR="00610FC9" w:rsidRPr="00AD4B53">
        <w:rPr>
          <w:rFonts w:ascii="Arial" w:hAnsi="Arial" w:cs="Arial"/>
          <w:sz w:val="20"/>
          <w:szCs w:val="20"/>
        </w:rPr>
        <w:t xml:space="preserve">above </w:t>
      </w:r>
      <w:r w:rsidRPr="00AD4B53">
        <w:rPr>
          <w:rFonts w:ascii="Arial" w:hAnsi="Arial" w:cs="Arial"/>
          <w:sz w:val="20"/>
          <w:szCs w:val="20"/>
        </w:rPr>
        <w:t xml:space="preserve">have been </w:t>
      </w:r>
      <w:r w:rsidR="00610FC9" w:rsidRPr="00AD4B53">
        <w:rPr>
          <w:rFonts w:ascii="Arial" w:hAnsi="Arial" w:cs="Arial"/>
          <w:sz w:val="20"/>
          <w:szCs w:val="20"/>
        </w:rPr>
        <w:t xml:space="preserve">elected to </w:t>
      </w:r>
      <w:r w:rsidRPr="00AD4B53">
        <w:rPr>
          <w:rFonts w:ascii="Arial" w:hAnsi="Arial" w:cs="Arial"/>
          <w:sz w:val="20"/>
          <w:szCs w:val="20"/>
        </w:rPr>
        <w:t xml:space="preserve">the Board of Directors </w:t>
      </w:r>
      <w:r w:rsidR="00610FC9" w:rsidRPr="00AD4B53">
        <w:rPr>
          <w:rFonts w:ascii="Arial" w:hAnsi="Arial" w:cs="Arial"/>
          <w:sz w:val="20"/>
          <w:szCs w:val="20"/>
        </w:rPr>
        <w:t>in</w:t>
      </w:r>
      <w:r w:rsidRPr="00AD4B53">
        <w:rPr>
          <w:rFonts w:ascii="Arial" w:hAnsi="Arial" w:cs="Arial"/>
          <w:sz w:val="20"/>
          <w:szCs w:val="20"/>
        </w:rPr>
        <w:t xml:space="preserve"> 2017</w:t>
      </w:r>
      <w:r w:rsidR="00610FC9" w:rsidRPr="00AD4B53">
        <w:rPr>
          <w:rFonts w:ascii="Arial" w:hAnsi="Arial" w:cs="Arial"/>
          <w:sz w:val="20"/>
          <w:szCs w:val="20"/>
        </w:rPr>
        <w:t xml:space="preserve"> </w:t>
      </w:r>
      <w:r w:rsidR="00610FC9" w:rsidRPr="00AD4B53">
        <w:rPr>
          <w:rFonts w:ascii="Arial" w:hAnsi="Arial" w:cs="Arial"/>
          <w:sz w:val="20"/>
          <w:szCs w:val="20"/>
        </w:rPr>
        <w:sym w:font="Symbol" w:char="F0B8"/>
      </w:r>
      <w:r w:rsidR="00610FC9" w:rsidRPr="00AD4B53">
        <w:rPr>
          <w:rFonts w:ascii="Arial" w:hAnsi="Arial" w:cs="Arial"/>
          <w:sz w:val="20"/>
          <w:szCs w:val="20"/>
        </w:rPr>
        <w:t xml:space="preserve"> </w:t>
      </w:r>
      <w:r w:rsidRPr="00AD4B53">
        <w:rPr>
          <w:rFonts w:ascii="Arial" w:hAnsi="Arial" w:cs="Arial"/>
          <w:sz w:val="20"/>
          <w:szCs w:val="20"/>
        </w:rPr>
        <w:t>2022.</w:t>
      </w:r>
    </w:p>
    <w:p w:rsidR="00E118FA" w:rsidRPr="00AD4B53" w:rsidRDefault="00E118FA" w:rsidP="00E118FA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2. Results </w:t>
      </w:r>
      <w:r w:rsidR="00610FC9" w:rsidRPr="00AD4B53">
        <w:rPr>
          <w:rFonts w:ascii="Arial" w:hAnsi="Arial" w:cs="Arial"/>
          <w:sz w:val="20"/>
          <w:szCs w:val="20"/>
        </w:rPr>
        <w:t xml:space="preserve">of election of Supervisory </w:t>
      </w:r>
      <w:r w:rsidRPr="00AD4B53">
        <w:rPr>
          <w:rFonts w:ascii="Arial" w:hAnsi="Arial" w:cs="Arial"/>
          <w:sz w:val="20"/>
          <w:szCs w:val="20"/>
        </w:rPr>
        <w:t>Board: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E118FA" w:rsidRPr="00AD4B53" w:rsidTr="00FB5ACC">
        <w:tc>
          <w:tcPr>
            <w:tcW w:w="3936" w:type="dxa"/>
          </w:tcPr>
          <w:p w:rsidR="00E118FA" w:rsidRPr="00AD4B53" w:rsidRDefault="00E118FA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(i) Mr.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Phan Ngoc Manh</w:t>
            </w:r>
          </w:p>
        </w:tc>
        <w:tc>
          <w:tcPr>
            <w:tcW w:w="5640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Vote, 123%</w:t>
            </w:r>
          </w:p>
        </w:tc>
      </w:tr>
      <w:tr w:rsidR="00E118FA" w:rsidRPr="00AD4B53" w:rsidTr="00FB5ACC">
        <w:tc>
          <w:tcPr>
            <w:tcW w:w="3936" w:type="dxa"/>
          </w:tcPr>
          <w:p w:rsidR="00E118FA" w:rsidRPr="00AD4B53" w:rsidRDefault="00E118FA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(ii) Mr.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Nguyen Tuan Anh</w:t>
            </w:r>
          </w:p>
        </w:tc>
        <w:tc>
          <w:tcPr>
            <w:tcW w:w="5640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Vote, 109%</w:t>
            </w:r>
          </w:p>
        </w:tc>
      </w:tr>
      <w:tr w:rsidR="00E118FA" w:rsidRPr="00AD4B53" w:rsidTr="00FB5ACC">
        <w:tc>
          <w:tcPr>
            <w:tcW w:w="3936" w:type="dxa"/>
          </w:tcPr>
          <w:p w:rsidR="00E118FA" w:rsidRPr="00AD4B53" w:rsidRDefault="00E118FA" w:rsidP="00FB5A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 xml:space="preserve">(iii) Mr. </w:t>
            </w:r>
            <w:r w:rsidRPr="00AD4B53">
              <w:rPr>
                <w:rFonts w:ascii="Arial" w:hAnsi="Arial" w:cs="Arial"/>
                <w:b/>
                <w:sz w:val="20"/>
                <w:szCs w:val="20"/>
              </w:rPr>
              <w:t>Tran Van Thao</w:t>
            </w:r>
          </w:p>
        </w:tc>
        <w:tc>
          <w:tcPr>
            <w:tcW w:w="5640" w:type="dxa"/>
          </w:tcPr>
          <w:p w:rsidR="00E118FA" w:rsidRPr="00AD4B53" w:rsidRDefault="00E118FA" w:rsidP="00E118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4B53">
              <w:rPr>
                <w:rFonts w:ascii="Arial" w:hAnsi="Arial" w:cs="Arial"/>
                <w:sz w:val="20"/>
                <w:szCs w:val="20"/>
              </w:rPr>
              <w:t>Vote, 69%</w:t>
            </w:r>
          </w:p>
        </w:tc>
      </w:tr>
    </w:tbl>
    <w:p w:rsidR="008D06DB" w:rsidRPr="00AD4B53" w:rsidRDefault="00610FC9" w:rsidP="008D06DB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 xml:space="preserve">The persons named above </w:t>
      </w:r>
      <w:r w:rsidR="008D06DB" w:rsidRPr="00AD4B53">
        <w:rPr>
          <w:rFonts w:ascii="Arial" w:hAnsi="Arial" w:cs="Arial"/>
          <w:sz w:val="20"/>
          <w:szCs w:val="20"/>
        </w:rPr>
        <w:t xml:space="preserve">have been elected to the Supervisory Board </w:t>
      </w:r>
      <w:r w:rsidRPr="00AD4B53">
        <w:rPr>
          <w:rFonts w:ascii="Arial" w:hAnsi="Arial" w:cs="Arial"/>
          <w:sz w:val="20"/>
          <w:szCs w:val="20"/>
        </w:rPr>
        <w:t>in</w:t>
      </w:r>
      <w:r w:rsidR="008D06DB" w:rsidRPr="00AD4B53">
        <w:rPr>
          <w:rFonts w:ascii="Arial" w:hAnsi="Arial" w:cs="Arial"/>
          <w:sz w:val="20"/>
          <w:szCs w:val="20"/>
        </w:rPr>
        <w:t xml:space="preserve"> 2017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Pr="00AD4B53">
        <w:rPr>
          <w:rFonts w:ascii="Arial" w:hAnsi="Arial" w:cs="Arial"/>
          <w:sz w:val="20"/>
          <w:szCs w:val="20"/>
        </w:rPr>
        <w:sym w:font="Symbol" w:char="F0B8"/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8D06DB" w:rsidRPr="00AD4B53">
        <w:rPr>
          <w:rFonts w:ascii="Arial" w:hAnsi="Arial" w:cs="Arial"/>
          <w:sz w:val="20"/>
          <w:szCs w:val="20"/>
        </w:rPr>
        <w:t>2022.</w:t>
      </w:r>
    </w:p>
    <w:p w:rsidR="008D06DB" w:rsidRPr="00AD4B53" w:rsidRDefault="008D06DB" w:rsidP="008D06DB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t>Article 10.</w:t>
      </w:r>
      <w:r w:rsidRPr="00AD4B53">
        <w:rPr>
          <w:rFonts w:ascii="Arial" w:hAnsi="Arial" w:cs="Arial"/>
          <w:sz w:val="20"/>
          <w:szCs w:val="20"/>
        </w:rPr>
        <w:t xml:space="preserve"> In this resolution, the General </w:t>
      </w:r>
      <w:r w:rsidR="00F95511" w:rsidRPr="00AD4B53">
        <w:rPr>
          <w:rFonts w:ascii="Arial" w:hAnsi="Arial" w:cs="Arial"/>
          <w:sz w:val="20"/>
          <w:szCs w:val="20"/>
        </w:rPr>
        <w:t>Meeting</w:t>
      </w:r>
      <w:r w:rsidRPr="00AD4B53">
        <w:rPr>
          <w:rFonts w:ascii="Arial" w:hAnsi="Arial" w:cs="Arial"/>
          <w:sz w:val="20"/>
          <w:szCs w:val="20"/>
        </w:rPr>
        <w:t xml:space="preserve"> of Shareholders authorizes the Board of Directors to study the securities law, the State management regulations to decide specific issues, implement </w:t>
      </w:r>
      <w:r w:rsidR="00F95511" w:rsidRPr="00AD4B53">
        <w:rPr>
          <w:rFonts w:ascii="Arial" w:hAnsi="Arial" w:cs="Arial"/>
          <w:sz w:val="20"/>
          <w:szCs w:val="20"/>
        </w:rPr>
        <w:t>the</w:t>
      </w:r>
      <w:r w:rsidRPr="00AD4B53">
        <w:rPr>
          <w:rFonts w:ascii="Arial" w:hAnsi="Arial" w:cs="Arial"/>
          <w:sz w:val="20"/>
          <w:szCs w:val="20"/>
        </w:rPr>
        <w:t xml:space="preserve"> production and business plan</w:t>
      </w:r>
      <w:r w:rsidR="00F95511" w:rsidRPr="00AD4B53">
        <w:rPr>
          <w:rFonts w:ascii="Arial" w:hAnsi="Arial" w:cs="Arial"/>
          <w:sz w:val="20"/>
          <w:szCs w:val="20"/>
        </w:rPr>
        <w:t xml:space="preserve"> in</w:t>
      </w:r>
      <w:r w:rsidRPr="00AD4B53">
        <w:rPr>
          <w:rFonts w:ascii="Arial" w:hAnsi="Arial" w:cs="Arial"/>
          <w:sz w:val="20"/>
          <w:szCs w:val="20"/>
        </w:rPr>
        <w:t xml:space="preserve"> 2017</w:t>
      </w:r>
      <w:r w:rsidR="00F95511" w:rsidRPr="00AD4B53">
        <w:rPr>
          <w:rFonts w:ascii="Arial" w:hAnsi="Arial" w:cs="Arial"/>
          <w:sz w:val="20"/>
          <w:szCs w:val="20"/>
        </w:rPr>
        <w:t>,</w:t>
      </w:r>
      <w:r w:rsidRPr="00AD4B53">
        <w:rPr>
          <w:rFonts w:ascii="Arial" w:hAnsi="Arial" w:cs="Arial"/>
          <w:sz w:val="20"/>
          <w:szCs w:val="20"/>
        </w:rPr>
        <w:t xml:space="preserve"> and amend the Company's regulations in accordance with the law. The content of implementation</w:t>
      </w:r>
      <w:r w:rsidR="00F95511" w:rsidRPr="00AD4B53">
        <w:rPr>
          <w:rFonts w:ascii="Arial" w:hAnsi="Arial" w:cs="Arial"/>
          <w:sz w:val="20"/>
          <w:szCs w:val="20"/>
        </w:rPr>
        <w:t xml:space="preserve"> </w:t>
      </w:r>
      <w:r w:rsidRPr="00AD4B53">
        <w:rPr>
          <w:rFonts w:ascii="Arial" w:hAnsi="Arial" w:cs="Arial"/>
          <w:sz w:val="20"/>
          <w:szCs w:val="20"/>
        </w:rPr>
        <w:t xml:space="preserve">will </w:t>
      </w:r>
      <w:r w:rsidR="00F95511" w:rsidRPr="00AD4B53">
        <w:rPr>
          <w:rFonts w:ascii="Arial" w:hAnsi="Arial" w:cs="Arial"/>
          <w:sz w:val="20"/>
          <w:szCs w:val="20"/>
        </w:rPr>
        <w:t xml:space="preserve">be </w:t>
      </w:r>
      <w:r w:rsidRPr="00AD4B53">
        <w:rPr>
          <w:rFonts w:ascii="Arial" w:hAnsi="Arial" w:cs="Arial"/>
          <w:sz w:val="20"/>
          <w:szCs w:val="20"/>
        </w:rPr>
        <w:t>report</w:t>
      </w:r>
      <w:r w:rsidR="00F95511" w:rsidRPr="00AD4B53">
        <w:rPr>
          <w:rFonts w:ascii="Arial" w:hAnsi="Arial" w:cs="Arial"/>
          <w:sz w:val="20"/>
          <w:szCs w:val="20"/>
        </w:rPr>
        <w:t>ed</w:t>
      </w:r>
      <w:r w:rsidRPr="00AD4B53">
        <w:rPr>
          <w:rFonts w:ascii="Arial" w:hAnsi="Arial" w:cs="Arial"/>
          <w:sz w:val="20"/>
          <w:szCs w:val="20"/>
        </w:rPr>
        <w:t xml:space="preserve"> </w:t>
      </w:r>
      <w:r w:rsidR="00F95511" w:rsidRPr="00AD4B53">
        <w:rPr>
          <w:rFonts w:ascii="Arial" w:hAnsi="Arial" w:cs="Arial"/>
          <w:sz w:val="20"/>
          <w:szCs w:val="20"/>
        </w:rPr>
        <w:t xml:space="preserve">by the Board of Directors </w:t>
      </w:r>
      <w:r w:rsidRPr="00AD4B53">
        <w:rPr>
          <w:rFonts w:ascii="Arial" w:hAnsi="Arial" w:cs="Arial"/>
          <w:sz w:val="20"/>
          <w:szCs w:val="20"/>
        </w:rPr>
        <w:t xml:space="preserve">at the </w:t>
      </w:r>
      <w:r w:rsidR="00F95511" w:rsidRPr="00AD4B53">
        <w:rPr>
          <w:rFonts w:ascii="Arial" w:hAnsi="Arial" w:cs="Arial"/>
          <w:sz w:val="20"/>
          <w:szCs w:val="20"/>
        </w:rPr>
        <w:t>lat</w:t>
      </w:r>
      <w:r w:rsidRPr="00AD4B53">
        <w:rPr>
          <w:rFonts w:ascii="Arial" w:hAnsi="Arial" w:cs="Arial"/>
          <w:sz w:val="20"/>
          <w:szCs w:val="20"/>
        </w:rPr>
        <w:t xml:space="preserve">est </w:t>
      </w:r>
      <w:r w:rsidR="00F95511" w:rsidRPr="00AD4B53">
        <w:rPr>
          <w:rFonts w:ascii="Arial" w:hAnsi="Arial" w:cs="Arial"/>
          <w:sz w:val="20"/>
          <w:szCs w:val="20"/>
        </w:rPr>
        <w:t>General M</w:t>
      </w:r>
      <w:r w:rsidRPr="00AD4B53">
        <w:rPr>
          <w:rFonts w:ascii="Arial" w:hAnsi="Arial" w:cs="Arial"/>
          <w:sz w:val="20"/>
          <w:szCs w:val="20"/>
        </w:rPr>
        <w:t xml:space="preserve">eeting of </w:t>
      </w:r>
      <w:r w:rsidR="00F95511" w:rsidRPr="00AD4B53">
        <w:rPr>
          <w:rFonts w:ascii="Arial" w:hAnsi="Arial" w:cs="Arial"/>
          <w:sz w:val="20"/>
          <w:szCs w:val="20"/>
        </w:rPr>
        <w:t>S</w:t>
      </w:r>
      <w:r w:rsidRPr="00AD4B53">
        <w:rPr>
          <w:rFonts w:ascii="Arial" w:hAnsi="Arial" w:cs="Arial"/>
          <w:sz w:val="20"/>
          <w:szCs w:val="20"/>
        </w:rPr>
        <w:t>hareholders.</w:t>
      </w:r>
    </w:p>
    <w:p w:rsidR="008D06DB" w:rsidRPr="00AD4B53" w:rsidRDefault="008D06DB" w:rsidP="008D06DB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b/>
          <w:sz w:val="20"/>
          <w:szCs w:val="20"/>
          <w:u w:val="single"/>
        </w:rPr>
        <w:t>Article 11.</w:t>
      </w:r>
      <w:r w:rsidRPr="00AD4B53">
        <w:rPr>
          <w:rFonts w:ascii="Arial" w:hAnsi="Arial" w:cs="Arial"/>
          <w:sz w:val="20"/>
          <w:szCs w:val="20"/>
        </w:rPr>
        <w:t xml:space="preserve"> The </w:t>
      </w:r>
      <w:r w:rsidR="00F95511" w:rsidRPr="00AD4B53">
        <w:rPr>
          <w:rFonts w:ascii="Arial" w:hAnsi="Arial" w:cs="Arial"/>
          <w:sz w:val="20"/>
          <w:szCs w:val="20"/>
        </w:rPr>
        <w:t>Board of Directors</w:t>
      </w:r>
      <w:r w:rsidRPr="00AD4B53">
        <w:rPr>
          <w:rFonts w:ascii="Arial" w:hAnsi="Arial" w:cs="Arial"/>
          <w:sz w:val="20"/>
          <w:szCs w:val="20"/>
        </w:rPr>
        <w:t xml:space="preserve">, </w:t>
      </w:r>
      <w:r w:rsidR="00F95511" w:rsidRPr="00AD4B53">
        <w:rPr>
          <w:rFonts w:ascii="Arial" w:hAnsi="Arial" w:cs="Arial"/>
          <w:sz w:val="20"/>
          <w:szCs w:val="20"/>
        </w:rPr>
        <w:t>Supervisory</w:t>
      </w:r>
      <w:r w:rsidRPr="00AD4B53">
        <w:rPr>
          <w:rFonts w:ascii="Arial" w:hAnsi="Arial" w:cs="Arial"/>
          <w:sz w:val="20"/>
          <w:szCs w:val="20"/>
        </w:rPr>
        <w:t xml:space="preserve"> Board and Board of </w:t>
      </w:r>
      <w:r w:rsidR="00F95511" w:rsidRPr="00AD4B53">
        <w:rPr>
          <w:rFonts w:ascii="Arial" w:hAnsi="Arial" w:cs="Arial"/>
          <w:sz w:val="20"/>
          <w:szCs w:val="20"/>
        </w:rPr>
        <w:t>General Directors</w:t>
      </w:r>
      <w:r w:rsidRPr="00AD4B53">
        <w:rPr>
          <w:rFonts w:ascii="Arial" w:hAnsi="Arial" w:cs="Arial"/>
          <w:sz w:val="20"/>
          <w:szCs w:val="20"/>
        </w:rPr>
        <w:t xml:space="preserve"> shall organize and implement this Resolution.</w:t>
      </w:r>
    </w:p>
    <w:p w:rsidR="008D06DB" w:rsidRPr="00AD4B53" w:rsidRDefault="00002BD7" w:rsidP="008D06DB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>T</w:t>
      </w:r>
      <w:r w:rsidR="008D06DB" w:rsidRPr="00AD4B53">
        <w:rPr>
          <w:rFonts w:ascii="Arial" w:hAnsi="Arial" w:cs="Arial"/>
          <w:sz w:val="20"/>
          <w:szCs w:val="20"/>
        </w:rPr>
        <w:t xml:space="preserve">his resolution </w:t>
      </w:r>
      <w:r w:rsidRPr="00AD4B53">
        <w:rPr>
          <w:rFonts w:ascii="Arial" w:hAnsi="Arial" w:cs="Arial"/>
          <w:sz w:val="20"/>
          <w:szCs w:val="20"/>
        </w:rPr>
        <w:t>i</w:t>
      </w:r>
      <w:r w:rsidR="008D06DB" w:rsidRPr="00AD4B53">
        <w:rPr>
          <w:rFonts w:ascii="Arial" w:hAnsi="Arial" w:cs="Arial"/>
          <w:sz w:val="20"/>
          <w:szCs w:val="20"/>
        </w:rPr>
        <w:t xml:space="preserve">s approved by the </w:t>
      </w:r>
      <w:r w:rsidRPr="00AD4B53">
        <w:rPr>
          <w:rFonts w:ascii="Arial" w:hAnsi="Arial" w:cs="Arial"/>
          <w:sz w:val="20"/>
          <w:szCs w:val="20"/>
        </w:rPr>
        <w:t xml:space="preserve">2017 </w:t>
      </w:r>
      <w:r w:rsidR="008D06DB" w:rsidRPr="00AD4B53">
        <w:rPr>
          <w:rFonts w:ascii="Arial" w:hAnsi="Arial" w:cs="Arial"/>
          <w:sz w:val="20"/>
          <w:szCs w:val="20"/>
        </w:rPr>
        <w:t xml:space="preserve">General </w:t>
      </w:r>
      <w:r w:rsidRPr="00AD4B53">
        <w:rPr>
          <w:rFonts w:ascii="Arial" w:hAnsi="Arial" w:cs="Arial"/>
          <w:sz w:val="20"/>
          <w:szCs w:val="20"/>
        </w:rPr>
        <w:t>Meeting</w:t>
      </w:r>
      <w:r w:rsidR="008D06DB" w:rsidRPr="00AD4B53">
        <w:rPr>
          <w:rFonts w:ascii="Arial" w:hAnsi="Arial" w:cs="Arial"/>
          <w:sz w:val="20"/>
          <w:szCs w:val="20"/>
        </w:rPr>
        <w:t xml:space="preserve"> of Shareholders of Dak Doa Hydropower Joint Stock Company at the meeting. This resolution is sent to all shareholders of the Company.</w:t>
      </w:r>
    </w:p>
    <w:p w:rsidR="00E118FA" w:rsidRPr="00AD4B53" w:rsidRDefault="008D06DB" w:rsidP="008D06DB">
      <w:pPr>
        <w:spacing w:before="120" w:after="120"/>
        <w:rPr>
          <w:rFonts w:ascii="Arial" w:hAnsi="Arial" w:cs="Arial"/>
          <w:sz w:val="20"/>
          <w:szCs w:val="20"/>
        </w:rPr>
      </w:pPr>
      <w:r w:rsidRPr="00AD4B53">
        <w:rPr>
          <w:rFonts w:ascii="Arial" w:hAnsi="Arial" w:cs="Arial"/>
          <w:sz w:val="20"/>
          <w:szCs w:val="20"/>
        </w:rPr>
        <w:t>This resolution takes effect from the date of signing.</w:t>
      </w:r>
    </w:p>
    <w:sectPr w:rsidR="00E118FA" w:rsidRPr="00AD4B53" w:rsidSect="0071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02362"/>
    <w:rsid w:val="00002BD7"/>
    <w:rsid w:val="000F393F"/>
    <w:rsid w:val="00177824"/>
    <w:rsid w:val="001C5D9A"/>
    <w:rsid w:val="001D5DF4"/>
    <w:rsid w:val="001E4618"/>
    <w:rsid w:val="002D1A5A"/>
    <w:rsid w:val="002E06AD"/>
    <w:rsid w:val="002F73AB"/>
    <w:rsid w:val="00365F36"/>
    <w:rsid w:val="00377517"/>
    <w:rsid w:val="003B6690"/>
    <w:rsid w:val="003C42B0"/>
    <w:rsid w:val="003E5FBB"/>
    <w:rsid w:val="00411C15"/>
    <w:rsid w:val="004339B4"/>
    <w:rsid w:val="004507D5"/>
    <w:rsid w:val="004878CB"/>
    <w:rsid w:val="0049165F"/>
    <w:rsid w:val="004B213A"/>
    <w:rsid w:val="00510607"/>
    <w:rsid w:val="00513676"/>
    <w:rsid w:val="00581002"/>
    <w:rsid w:val="005D7224"/>
    <w:rsid w:val="00610FC9"/>
    <w:rsid w:val="00680F3D"/>
    <w:rsid w:val="006A3D28"/>
    <w:rsid w:val="006B77CD"/>
    <w:rsid w:val="00704BFD"/>
    <w:rsid w:val="00713E65"/>
    <w:rsid w:val="00791706"/>
    <w:rsid w:val="0084057E"/>
    <w:rsid w:val="008B0163"/>
    <w:rsid w:val="008D06DB"/>
    <w:rsid w:val="008E7602"/>
    <w:rsid w:val="0090778F"/>
    <w:rsid w:val="0096168C"/>
    <w:rsid w:val="009D71C1"/>
    <w:rsid w:val="00A03127"/>
    <w:rsid w:val="00A56205"/>
    <w:rsid w:val="00AB0E58"/>
    <w:rsid w:val="00AD4B53"/>
    <w:rsid w:val="00B93D4D"/>
    <w:rsid w:val="00C01E56"/>
    <w:rsid w:val="00C14F98"/>
    <w:rsid w:val="00CE584D"/>
    <w:rsid w:val="00D400FF"/>
    <w:rsid w:val="00DA7C3F"/>
    <w:rsid w:val="00DC6A78"/>
    <w:rsid w:val="00DE2259"/>
    <w:rsid w:val="00DF693A"/>
    <w:rsid w:val="00E02362"/>
    <w:rsid w:val="00E118FA"/>
    <w:rsid w:val="00E40A80"/>
    <w:rsid w:val="00E949FB"/>
    <w:rsid w:val="00EE78BA"/>
    <w:rsid w:val="00F12948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BA47C-B8DD-481D-97A2-5C1E03D6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1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21</cp:revision>
  <dcterms:created xsi:type="dcterms:W3CDTF">2017-04-22T10:05:00Z</dcterms:created>
  <dcterms:modified xsi:type="dcterms:W3CDTF">2017-04-24T01:33:00Z</dcterms:modified>
</cp:coreProperties>
</file>